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B5B03" w14:textId="19F601E9" w:rsidR="00682F49" w:rsidRDefault="002D2C7B" w:rsidP="00682F49">
      <w:pPr>
        <w:pStyle w:val="Heading1"/>
        <w:jc w:val="center"/>
        <w:rPr>
          <w:noProof/>
          <w:lang w:eastAsia="en-US"/>
        </w:rPr>
      </w:pPr>
      <w:r w:rsidRPr="00830E6C">
        <w:rPr>
          <w:noProof/>
          <w:lang w:eastAsia="en-US"/>
        </w:rPr>
        <w:drawing>
          <wp:inline distT="0" distB="0" distL="0" distR="0" wp14:anchorId="134D3D81" wp14:editId="0CC148A6">
            <wp:extent cx="5943600" cy="1066800"/>
            <wp:effectExtent l="0" t="0" r="0" b="0"/>
            <wp:docPr id="1" name="Picture 1" descr="C:\Users\btkfotitkar\Desktop\BTK03-1\2016-2017\fejlec 2017\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tkfotitkar\Desktop\BTK03-1\2016-2017\fejlec 2017\új\BMK r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F478D" w14:textId="77777777" w:rsidR="00682F49" w:rsidRPr="00682F49" w:rsidRDefault="00682F49" w:rsidP="00682F49">
      <w:pPr>
        <w:rPr>
          <w:lang w:val="en-US"/>
        </w:rPr>
      </w:pPr>
    </w:p>
    <w:p w14:paraId="3A88AE4F" w14:textId="77777777" w:rsidR="00F02741" w:rsidRPr="00F33112" w:rsidRDefault="00F02741" w:rsidP="0003481E">
      <w:pPr>
        <w:pStyle w:val="Heading1"/>
        <w:rPr>
          <w:b/>
          <w:szCs w:val="24"/>
          <w:lang w:val="ro-RO"/>
        </w:rPr>
      </w:pPr>
      <w:r w:rsidRPr="00F33112">
        <w:rPr>
          <w:b/>
          <w:szCs w:val="24"/>
          <w:lang w:val="ro-RO"/>
        </w:rPr>
        <w:t>UNIVERSITATEA CREȘTINĂ PARTIUM ORADEA</w:t>
      </w:r>
    </w:p>
    <w:p w14:paraId="2893EE7B" w14:textId="77777777" w:rsidR="0003481E" w:rsidRPr="00F33112" w:rsidRDefault="00C80FD0" w:rsidP="00C80FD0">
      <w:pPr>
        <w:pStyle w:val="Heading1"/>
        <w:rPr>
          <w:b/>
          <w:szCs w:val="24"/>
          <w:lang w:val="ro-RO"/>
        </w:rPr>
      </w:pPr>
      <w:r w:rsidRPr="00F33112">
        <w:rPr>
          <w:b/>
          <w:szCs w:val="24"/>
          <w:lang w:val="ro-RO"/>
        </w:rPr>
        <w:t xml:space="preserve">FACULTATEA DE </w:t>
      </w:r>
      <w:r w:rsidR="001812B4">
        <w:rPr>
          <w:b/>
          <w:szCs w:val="24"/>
          <w:lang w:val="ro-RO"/>
        </w:rPr>
        <w:t>LITERE ȘI ARTE</w:t>
      </w:r>
      <w:r w:rsidRPr="00F33112">
        <w:rPr>
          <w:b/>
          <w:szCs w:val="24"/>
          <w:lang w:val="ro-RO"/>
        </w:rPr>
        <w:t xml:space="preserve"> </w:t>
      </w:r>
    </w:p>
    <w:p w14:paraId="4E30C018" w14:textId="77777777" w:rsidR="00C80FD0" w:rsidRPr="00F33112" w:rsidRDefault="00C80FD0" w:rsidP="00C80FD0">
      <w:pPr>
        <w:rPr>
          <w:lang w:eastAsia="ro-RO"/>
        </w:rPr>
      </w:pPr>
    </w:p>
    <w:p w14:paraId="3F4649A3" w14:textId="77777777" w:rsidR="00F02741" w:rsidRPr="00F33112" w:rsidRDefault="00BB023B" w:rsidP="000348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3112">
        <w:rPr>
          <w:rFonts w:ascii="Times New Roman" w:hAnsi="Times New Roman"/>
          <w:b/>
          <w:sz w:val="24"/>
          <w:szCs w:val="24"/>
        </w:rPr>
        <w:t>PLAN</w:t>
      </w:r>
      <w:r w:rsidR="00F02741" w:rsidRPr="00F33112">
        <w:rPr>
          <w:rFonts w:ascii="Times New Roman" w:hAnsi="Times New Roman"/>
          <w:b/>
          <w:sz w:val="24"/>
          <w:szCs w:val="24"/>
        </w:rPr>
        <w:t xml:space="preserve"> </w:t>
      </w:r>
      <w:r w:rsidR="00C80FD0" w:rsidRPr="00F33112">
        <w:rPr>
          <w:rFonts w:ascii="Times New Roman" w:hAnsi="Times New Roman"/>
          <w:b/>
          <w:sz w:val="24"/>
          <w:szCs w:val="24"/>
        </w:rPr>
        <w:t>OPERAȚIONAL</w:t>
      </w:r>
    </w:p>
    <w:p w14:paraId="0683C1CB" w14:textId="77777777" w:rsidR="00816E61" w:rsidRPr="00F33112" w:rsidRDefault="00BB023B" w:rsidP="0003481E">
      <w:pPr>
        <w:pStyle w:val="Heading3"/>
        <w:rPr>
          <w:szCs w:val="24"/>
        </w:rPr>
      </w:pPr>
      <w:r w:rsidRPr="00F33112">
        <w:rPr>
          <w:szCs w:val="24"/>
        </w:rPr>
        <w:t>p</w:t>
      </w:r>
      <w:r w:rsidR="00BE444E" w:rsidRPr="00F33112">
        <w:rPr>
          <w:szCs w:val="24"/>
        </w:rPr>
        <w:t>e anul 20</w:t>
      </w:r>
      <w:r w:rsidR="0043119D">
        <w:rPr>
          <w:szCs w:val="24"/>
        </w:rPr>
        <w:t>2</w:t>
      </w:r>
      <w:r w:rsidR="008D69CD">
        <w:rPr>
          <w:szCs w:val="24"/>
        </w:rPr>
        <w:t>4</w:t>
      </w:r>
    </w:p>
    <w:p w14:paraId="07AE387B" w14:textId="77777777" w:rsidR="00C80FD0" w:rsidRPr="00F33112" w:rsidRDefault="00C80FD0" w:rsidP="00C80FD0">
      <w:pPr>
        <w:rPr>
          <w:lang w:eastAsia="ro-RO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8"/>
        <w:gridCol w:w="1701"/>
        <w:gridCol w:w="2268"/>
        <w:gridCol w:w="4536"/>
        <w:gridCol w:w="1275"/>
        <w:gridCol w:w="1985"/>
        <w:gridCol w:w="1134"/>
      </w:tblGrid>
      <w:tr w:rsidR="00053889" w:rsidRPr="00F33112" w14:paraId="11B6F33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41B96ED8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 </w:t>
            </w:r>
            <w:r w:rsidR="00914F74" w:rsidRPr="00F33112">
              <w:rPr>
                <w:b/>
                <w:sz w:val="22"/>
                <w:szCs w:val="22"/>
              </w:rPr>
              <w:t>Nr</w:t>
            </w:r>
            <w:r w:rsidR="00F33112" w:rsidRPr="00F33112">
              <w:rPr>
                <w:b/>
                <w:sz w:val="22"/>
                <w:szCs w:val="22"/>
              </w:rPr>
              <w:t>.</w:t>
            </w:r>
          </w:p>
          <w:p w14:paraId="01DE3C19" w14:textId="77777777" w:rsidR="00816E61" w:rsidRPr="00F33112" w:rsidRDefault="00914F74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>crt</w:t>
            </w:r>
            <w:r w:rsidR="00F33112" w:rsidRPr="00F33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45B44693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Domeniul </w:t>
            </w:r>
          </w:p>
        </w:tc>
        <w:tc>
          <w:tcPr>
            <w:tcW w:w="1701" w:type="dxa"/>
          </w:tcPr>
          <w:p w14:paraId="300457C9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Scopul </w:t>
            </w:r>
          </w:p>
        </w:tc>
        <w:tc>
          <w:tcPr>
            <w:tcW w:w="2268" w:type="dxa"/>
          </w:tcPr>
          <w:p w14:paraId="31A89775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Sarcini </w:t>
            </w:r>
          </w:p>
        </w:tc>
        <w:tc>
          <w:tcPr>
            <w:tcW w:w="4536" w:type="dxa"/>
          </w:tcPr>
          <w:p w14:paraId="2BC72A63" w14:textId="77777777" w:rsidR="00816E61" w:rsidRPr="00F33112" w:rsidRDefault="00FF3C72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>Desfășurarea</w:t>
            </w:r>
            <w:r w:rsidR="00816E61" w:rsidRPr="00F33112">
              <w:rPr>
                <w:b/>
                <w:sz w:val="22"/>
                <w:szCs w:val="22"/>
              </w:rPr>
              <w:t xml:space="preserve"> planului de </w:t>
            </w:r>
            <w:r w:rsidRPr="00F33112">
              <w:rPr>
                <w:b/>
                <w:sz w:val="22"/>
                <w:szCs w:val="22"/>
              </w:rPr>
              <w:t>acțiune</w:t>
            </w:r>
            <w:r w:rsidR="00816E61" w:rsidRPr="00F3311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14:paraId="12B1EB5D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Surse de </w:t>
            </w:r>
            <w:r w:rsidR="00FF3C72" w:rsidRPr="00F33112">
              <w:rPr>
                <w:b/>
                <w:sz w:val="22"/>
                <w:szCs w:val="22"/>
              </w:rPr>
              <w:t>finanțare</w:t>
            </w:r>
            <w:r w:rsidRPr="00F3311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4E9F08A1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Responsabil </w:t>
            </w:r>
          </w:p>
        </w:tc>
        <w:tc>
          <w:tcPr>
            <w:tcW w:w="1134" w:type="dxa"/>
          </w:tcPr>
          <w:p w14:paraId="461AEB05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Termen </w:t>
            </w:r>
          </w:p>
        </w:tc>
      </w:tr>
      <w:tr w:rsidR="005E1D7A" w:rsidRPr="00F33112" w14:paraId="5F69C57F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329C4025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14:paraId="2F559EC3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Cadrul juridic </w:t>
            </w:r>
          </w:p>
          <w:p w14:paraId="02B87815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și </w:t>
            </w:r>
          </w:p>
          <w:p w14:paraId="79E37DEA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administrativ</w:t>
            </w:r>
          </w:p>
        </w:tc>
        <w:tc>
          <w:tcPr>
            <w:tcW w:w="1701" w:type="dxa"/>
          </w:tcPr>
          <w:p w14:paraId="2762745F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Reexaminarea </w:t>
            </w:r>
          </w:p>
          <w:p w14:paraId="07171C62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regulamentelor</w:t>
            </w:r>
          </w:p>
        </w:tc>
        <w:tc>
          <w:tcPr>
            <w:tcW w:w="2268" w:type="dxa"/>
          </w:tcPr>
          <w:p w14:paraId="1CA8941A" w14:textId="77777777" w:rsidR="00816E61" w:rsidRPr="00F33112" w:rsidRDefault="00C80FD0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-</w:t>
            </w:r>
            <w:r w:rsidR="00816E61" w:rsidRPr="00F33112">
              <w:rPr>
                <w:sz w:val="20"/>
                <w:szCs w:val="20"/>
              </w:rPr>
              <w:t>Actualizarea</w:t>
            </w:r>
          </w:p>
          <w:p w14:paraId="0A465B47" w14:textId="77777777" w:rsidR="00816E61" w:rsidRPr="00F33112" w:rsidRDefault="00914F74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</w:t>
            </w:r>
            <w:r w:rsidR="00816E61" w:rsidRPr="00F33112">
              <w:rPr>
                <w:sz w:val="20"/>
                <w:szCs w:val="20"/>
              </w:rPr>
              <w:t>egulamentelor</w:t>
            </w:r>
          </w:p>
          <w:p w14:paraId="48285E40" w14:textId="77777777" w:rsidR="00C80FD0" w:rsidRPr="00F33112" w:rsidRDefault="00914F74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referitoare</w:t>
            </w:r>
            <w:r w:rsidR="00C80FD0" w:rsidRPr="00F33112">
              <w:rPr>
                <w:sz w:val="20"/>
                <w:szCs w:val="20"/>
              </w:rPr>
              <w:t xml:space="preserve"> la funcționarea facultății</w:t>
            </w:r>
          </w:p>
        </w:tc>
        <w:tc>
          <w:tcPr>
            <w:tcW w:w="4536" w:type="dxa"/>
          </w:tcPr>
          <w:p w14:paraId="4FB4A493" w14:textId="77777777" w:rsidR="00153B19" w:rsidRPr="00E24B54" w:rsidRDefault="00E24B54" w:rsidP="00E24B5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4B54">
              <w:rPr>
                <w:rFonts w:ascii="Times New Roman" w:eastAsia="Times New Roman" w:hAnsi="Times New Roman"/>
                <w:sz w:val="20"/>
                <w:szCs w:val="20"/>
              </w:rPr>
              <w:t>Actualizarea regulamentului de funcționare, a metodologiei examenului de licenţă/masterat, a condiţiilor de admitere la studii universitare de licenţă/masterat în funcţie de modificarea legislaţiei şi de nevoile proprii</w:t>
            </w:r>
          </w:p>
        </w:tc>
        <w:tc>
          <w:tcPr>
            <w:tcW w:w="1275" w:type="dxa"/>
          </w:tcPr>
          <w:p w14:paraId="601A87BF" w14:textId="77777777" w:rsidR="00BE444E" w:rsidRPr="00F33112" w:rsidRDefault="00BE444E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 xml:space="preserve">Surse </w:t>
            </w:r>
          </w:p>
          <w:p w14:paraId="74D69D40" w14:textId="77777777" w:rsidR="00BE444E" w:rsidRPr="00F33112" w:rsidRDefault="00BE444E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685B8B8C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B0557E6" w14:textId="77777777" w:rsidR="00562C61" w:rsidRPr="00F33112" w:rsidRDefault="00562C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3709C475" w14:textId="77777777" w:rsidR="00914F74" w:rsidRPr="00F33112" w:rsidRDefault="005A303A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0CC2954C" w14:textId="77777777" w:rsidR="00BE444E" w:rsidRPr="00F33112" w:rsidRDefault="00BE444E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Membrii consiliului </w:t>
            </w:r>
            <w:r w:rsidR="00FF3C72" w:rsidRPr="00F33112">
              <w:rPr>
                <w:sz w:val="20"/>
                <w:szCs w:val="20"/>
              </w:rPr>
              <w:t>facultății</w:t>
            </w:r>
          </w:p>
        </w:tc>
        <w:tc>
          <w:tcPr>
            <w:tcW w:w="1134" w:type="dxa"/>
          </w:tcPr>
          <w:p w14:paraId="1FE64174" w14:textId="77777777" w:rsidR="00816E61" w:rsidRPr="00F33112" w:rsidRDefault="00914F74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Ianuarie, februarie</w:t>
            </w:r>
          </w:p>
        </w:tc>
      </w:tr>
      <w:tr w:rsidR="0043119D" w:rsidRPr="00F33112" w14:paraId="674DD911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77CA887A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2.</w:t>
            </w:r>
          </w:p>
          <w:p w14:paraId="2FE2AD60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26221BDC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Procesul de învățământ</w:t>
            </w:r>
          </w:p>
          <w:p w14:paraId="0593948D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  <w:p w14:paraId="09B69F98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  <w:p w14:paraId="3E1550CD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  <w:p w14:paraId="52C9A65B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CFFE1C1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  <w:lang w:eastAsia="ro-RO"/>
              </w:rPr>
              <w:t>Evaluarea calității academice</w:t>
            </w:r>
          </w:p>
          <w:p w14:paraId="1F8463C9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34F4D21D" w14:textId="77777777" w:rsidR="0043119D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Evaluarea periodică a programelor de licență/masterat acreditate </w:t>
            </w:r>
          </w:p>
          <w:p w14:paraId="2F2D6FF0" w14:textId="77777777" w:rsidR="00883ADB" w:rsidRPr="00F33112" w:rsidRDefault="00883ADB" w:rsidP="00F331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Lansarea specializărilor noi</w:t>
            </w:r>
          </w:p>
        </w:tc>
        <w:tc>
          <w:tcPr>
            <w:tcW w:w="4536" w:type="dxa"/>
          </w:tcPr>
          <w:p w14:paraId="7D2C1603" w14:textId="77777777" w:rsidR="0043119D" w:rsidRPr="0029455F" w:rsidRDefault="0043119D" w:rsidP="0029455F">
            <w:pPr>
              <w:pStyle w:val="Default"/>
              <w:rPr>
                <w:color w:val="auto"/>
                <w:sz w:val="20"/>
                <w:szCs w:val="20"/>
              </w:rPr>
            </w:pPr>
            <w:r w:rsidRPr="0029455F">
              <w:rPr>
                <w:color w:val="auto"/>
                <w:sz w:val="20"/>
                <w:szCs w:val="20"/>
              </w:rPr>
              <w:t>Punerea în acord cu cerințele ARACIS</w:t>
            </w:r>
          </w:p>
          <w:p w14:paraId="1F556A67" w14:textId="77777777" w:rsidR="0028466C" w:rsidRPr="0029455F" w:rsidRDefault="0028466C" w:rsidP="0029455F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ADFA7E4" w14:textId="77777777" w:rsidR="00E0430E" w:rsidRDefault="008D69CD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55F">
              <w:rPr>
                <w:rFonts w:ascii="Times New Roman" w:hAnsi="Times New Roman"/>
                <w:sz w:val="20"/>
                <w:szCs w:val="20"/>
              </w:rPr>
              <w:t>Depunerea dosarului de acreditare (de evaluare periodică a programului de studii de licență):</w:t>
            </w:r>
          </w:p>
          <w:p w14:paraId="6138B1B0" w14:textId="77777777" w:rsidR="0029455F" w:rsidRPr="0029455F" w:rsidRDefault="0029455F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05A14D" w14:textId="77777777" w:rsidR="008D69CD" w:rsidRPr="0029455F" w:rsidRDefault="008D69CD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55F">
              <w:rPr>
                <w:rFonts w:ascii="Times New Roman" w:hAnsi="Times New Roman"/>
                <w:sz w:val="20"/>
                <w:szCs w:val="20"/>
              </w:rPr>
              <w:t>Limba și literatura engleză</w:t>
            </w:r>
          </w:p>
          <w:p w14:paraId="0E09E430" w14:textId="77777777" w:rsidR="008D69CD" w:rsidRPr="0029455F" w:rsidRDefault="008D69CD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55F">
              <w:rPr>
                <w:rFonts w:ascii="Times New Roman" w:hAnsi="Times New Roman"/>
                <w:sz w:val="20"/>
                <w:szCs w:val="20"/>
              </w:rPr>
              <w:t>Limba și literatura maghiară – Limba și literatura engleză</w:t>
            </w:r>
          </w:p>
          <w:p w14:paraId="2C83B76B" w14:textId="77777777" w:rsidR="0029455F" w:rsidRDefault="0029455F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55F">
              <w:rPr>
                <w:rFonts w:ascii="Times New Roman" w:hAnsi="Times New Roman"/>
                <w:sz w:val="20"/>
                <w:szCs w:val="20"/>
              </w:rPr>
              <w:t xml:space="preserve">Arte plastice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9455F">
              <w:rPr>
                <w:rFonts w:ascii="Times New Roman" w:hAnsi="Times New Roman"/>
                <w:sz w:val="20"/>
                <w:szCs w:val="20"/>
              </w:rPr>
              <w:t xml:space="preserve"> Grafică</w:t>
            </w:r>
          </w:p>
          <w:p w14:paraId="54203D44" w14:textId="77777777" w:rsidR="0029455F" w:rsidRPr="0029455F" w:rsidRDefault="0029455F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DB38C9" w14:textId="77777777" w:rsidR="00607014" w:rsidRDefault="00607014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55F">
              <w:rPr>
                <w:rFonts w:ascii="Times New Roman" w:hAnsi="Times New Roman"/>
                <w:sz w:val="20"/>
                <w:szCs w:val="20"/>
              </w:rPr>
              <w:t>Depunerea dosarului de acreditare (de evaluare periodică a programului de studii de masterat):</w:t>
            </w:r>
          </w:p>
          <w:p w14:paraId="3C1E641E" w14:textId="77777777" w:rsidR="0029455F" w:rsidRPr="0029455F" w:rsidRDefault="0029455F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F3985B" w14:textId="77777777" w:rsidR="0029455F" w:rsidRPr="0029455F" w:rsidRDefault="0029455F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55F">
              <w:rPr>
                <w:rFonts w:ascii="Times New Roman" w:hAnsi="Times New Roman"/>
                <w:sz w:val="20"/>
                <w:szCs w:val="20"/>
              </w:rPr>
              <w:t>Multilingvism și multiculturalitate</w:t>
            </w:r>
          </w:p>
          <w:p w14:paraId="4028C382" w14:textId="77777777" w:rsidR="0029455F" w:rsidRPr="0029455F" w:rsidRDefault="0029455F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55F">
              <w:rPr>
                <w:rFonts w:ascii="Times New Roman" w:hAnsi="Times New Roman"/>
                <w:sz w:val="20"/>
                <w:szCs w:val="20"/>
              </w:rPr>
              <w:t>Comunicare vizuală</w:t>
            </w:r>
          </w:p>
          <w:p w14:paraId="76E13428" w14:textId="77777777" w:rsidR="00607014" w:rsidRPr="0029455F" w:rsidRDefault="00607014" w:rsidP="0029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9ACBE2" w14:textId="77777777" w:rsidR="008D69CD" w:rsidRPr="0029455F" w:rsidRDefault="008D69CD" w:rsidP="0029455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 w:val="restart"/>
          </w:tcPr>
          <w:p w14:paraId="258C5F91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lastRenderedPageBreak/>
              <w:t xml:space="preserve">Surse </w:t>
            </w:r>
          </w:p>
          <w:p w14:paraId="153AF593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11EBCF36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1E79170C" w14:textId="77777777" w:rsidR="001812B4" w:rsidRDefault="001812B4" w:rsidP="00F331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Decan</w:t>
            </w:r>
          </w:p>
          <w:p w14:paraId="2675E554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13EB8350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  <w:vMerge w:val="restart"/>
          </w:tcPr>
          <w:p w14:paraId="4D194597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Ianuarie-</w:t>
            </w:r>
            <w:r w:rsidR="0028466C">
              <w:rPr>
                <w:sz w:val="20"/>
                <w:szCs w:val="20"/>
              </w:rPr>
              <w:t>mai</w:t>
            </w:r>
          </w:p>
          <w:p w14:paraId="5D8F8E2A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</w:tr>
      <w:tr w:rsidR="0043119D" w:rsidRPr="00F33112" w14:paraId="3B6C060C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08D4C0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7AA5CC5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1DB5BC33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001A0B4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97F11BA" w14:textId="77777777" w:rsidR="00334AEE" w:rsidRPr="00102601" w:rsidRDefault="00334AEE" w:rsidP="0010260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AD7DB78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60B6EB3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FA29648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3119D" w:rsidRPr="00F33112" w14:paraId="6254E9BC" w14:textId="77777777" w:rsidTr="001135EA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568" w:type="dxa"/>
            <w:vMerge/>
          </w:tcPr>
          <w:p w14:paraId="3A30D58C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E7D37DE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 w:val="restart"/>
          </w:tcPr>
          <w:p w14:paraId="24D541F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  <w:r w:rsidRPr="00F33112">
              <w:rPr>
                <w:sz w:val="20"/>
                <w:szCs w:val="20"/>
                <w:lang w:eastAsia="ro-RO"/>
              </w:rPr>
              <w:t>Extinderea utilizării metodelor moderne de predare şi învățare</w:t>
            </w:r>
          </w:p>
        </w:tc>
        <w:tc>
          <w:tcPr>
            <w:tcW w:w="2268" w:type="dxa"/>
          </w:tcPr>
          <w:p w14:paraId="244FDC53" w14:textId="77777777" w:rsidR="0043119D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Actualizarea planurilor de învățământ</w:t>
            </w:r>
            <w:r w:rsidR="00B45C33">
              <w:rPr>
                <w:sz w:val="20"/>
                <w:szCs w:val="20"/>
              </w:rPr>
              <w:t xml:space="preserve"> </w:t>
            </w:r>
            <w:r w:rsidR="00B45C33" w:rsidRPr="00B45C33">
              <w:rPr>
                <w:rFonts w:eastAsia="Times New Roman"/>
                <w:sz w:val="20"/>
                <w:szCs w:val="20"/>
              </w:rPr>
              <w:t>cu atenție specială la disciplinele opționale</w:t>
            </w:r>
          </w:p>
          <w:p w14:paraId="26C415D9" w14:textId="77777777" w:rsidR="00B45C33" w:rsidRPr="00F33112" w:rsidRDefault="00B45C33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B86FA6D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Actualizarea şi armonizarea planurilor la specializările facultății</w:t>
            </w:r>
            <w:r w:rsidR="00B45C33" w:rsidRPr="005C06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420436" w14:textId="77777777" w:rsidR="0043119D" w:rsidRPr="00B45C33" w:rsidRDefault="00B45C33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</w:rPr>
              <w:t>-pregătirea variantei planului de învățământ propus spre avizarea Departamentului</w:t>
            </w:r>
          </w:p>
          <w:p w14:paraId="43A8529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B74ABC4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 xml:space="preserve">Surse </w:t>
            </w:r>
          </w:p>
          <w:p w14:paraId="35EE5A4A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140AABCB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985" w:type="dxa"/>
          </w:tcPr>
          <w:p w14:paraId="786D353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109FF1E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630FD9E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</w:tcPr>
          <w:p w14:paraId="7227221F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Martie-aprilie</w:t>
            </w:r>
          </w:p>
        </w:tc>
      </w:tr>
      <w:tr w:rsidR="0043119D" w:rsidRPr="00F33112" w14:paraId="043AA685" w14:textId="77777777" w:rsidTr="001135EA">
        <w:tblPrEx>
          <w:tblCellMar>
            <w:top w:w="0" w:type="dxa"/>
            <w:bottom w:w="0" w:type="dxa"/>
          </w:tblCellMar>
        </w:tblPrEx>
        <w:trPr>
          <w:trHeight w:val="1408"/>
        </w:trPr>
        <w:tc>
          <w:tcPr>
            <w:tcW w:w="568" w:type="dxa"/>
            <w:vMerge/>
          </w:tcPr>
          <w:p w14:paraId="6E97AF7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C33E7E3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7E53C002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6DFA170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Operaționalizarea actualizării planurilor de învățământ</w:t>
            </w:r>
          </w:p>
        </w:tc>
        <w:tc>
          <w:tcPr>
            <w:tcW w:w="4536" w:type="dxa"/>
          </w:tcPr>
          <w:p w14:paraId="2E52E6D3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-Revizuirea programelor analitice corespunzătoare planurilor de învățământ actual</w:t>
            </w:r>
          </w:p>
          <w:p w14:paraId="3D6E00CC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-Elaborare de </w:t>
            </w:r>
            <w:r w:rsidR="001812B4">
              <w:rPr>
                <w:rFonts w:ascii="Times New Roman" w:hAnsi="Times New Roman"/>
                <w:sz w:val="20"/>
                <w:szCs w:val="20"/>
              </w:rPr>
              <w:t>fișe de discipline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 xml:space="preserve"> pentru fiecare materie de învățământ</w:t>
            </w:r>
          </w:p>
          <w:p w14:paraId="40216B4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D1D3C1D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 xml:space="preserve">Surse </w:t>
            </w:r>
          </w:p>
          <w:p w14:paraId="4597FCA7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72C45D85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985" w:type="dxa"/>
          </w:tcPr>
          <w:p w14:paraId="7244A2C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4E24FEF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7C56016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</w:tcPr>
          <w:p w14:paraId="0A80A4B0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Iunie-septembrie</w:t>
            </w:r>
          </w:p>
        </w:tc>
      </w:tr>
      <w:tr w:rsidR="0043119D" w:rsidRPr="00F33112" w14:paraId="44AB946E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5912E0B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4444A6A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0AE78E3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704889CE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Adaptarea conținutului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br w:type="column"/>
              <w:t>învățământului la nevoile existente pe piața muncii</w:t>
            </w:r>
          </w:p>
        </w:tc>
        <w:tc>
          <w:tcPr>
            <w:tcW w:w="4536" w:type="dxa"/>
          </w:tcPr>
          <w:p w14:paraId="29DBA743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-Definirea unor module de formare pe direcții de specializare</w:t>
            </w:r>
          </w:p>
          <w:p w14:paraId="6AAC7FE4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-Consultări cu potențialii angajatori în vederea adaptării conținutului învățământului.</w:t>
            </w:r>
          </w:p>
        </w:tc>
        <w:tc>
          <w:tcPr>
            <w:tcW w:w="1275" w:type="dxa"/>
          </w:tcPr>
          <w:p w14:paraId="76B343C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563B8C4B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Decan</w:t>
            </w:r>
          </w:p>
          <w:p w14:paraId="45820E36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Directorii de departament</w:t>
            </w:r>
          </w:p>
          <w:p w14:paraId="2967F5D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</w:tcPr>
          <w:p w14:paraId="144F6392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43119D" w:rsidRPr="00F33112" w14:paraId="41DF5486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56A293D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4BCC481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68CB5D4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5CC76E5F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Îmbunătățirea activității didactice</w:t>
            </w:r>
          </w:p>
        </w:tc>
        <w:tc>
          <w:tcPr>
            <w:tcW w:w="4536" w:type="dxa"/>
          </w:tcPr>
          <w:p w14:paraId="69E22812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-Îmbunătățirea conținutului cursurilor și seminarelor, actualizarea informațiilor transmise studenților facilitarea accesului la </w:t>
            </w:r>
            <w:r w:rsidR="001812B4">
              <w:rPr>
                <w:rFonts w:ascii="Times New Roman" w:hAnsi="Times New Roman"/>
                <w:sz w:val="20"/>
                <w:szCs w:val="20"/>
              </w:rPr>
              <w:t xml:space="preserve">bibliotecă precum și la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>baza informatică a studenților, creșterea gradului de folosire a rețelelor</w:t>
            </w:r>
          </w:p>
          <w:p w14:paraId="24283A85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-Creșterea disciplinei învățării: prezența mai bună la ore a studenților</w:t>
            </w:r>
          </w:p>
          <w:p w14:paraId="3659BD16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-Acces multiplu la diferitele surse de informare legate de procesul didactic (Internet, afișaj)</w:t>
            </w:r>
          </w:p>
          <w:p w14:paraId="2BB7B462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-Forme de asistare de către mentori și tutori din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>rândul cadrelor didactice</w:t>
            </w:r>
          </w:p>
        </w:tc>
        <w:tc>
          <w:tcPr>
            <w:tcW w:w="1275" w:type="dxa"/>
          </w:tcPr>
          <w:p w14:paraId="418FE0B4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Surse proprii</w:t>
            </w:r>
          </w:p>
        </w:tc>
        <w:tc>
          <w:tcPr>
            <w:tcW w:w="1985" w:type="dxa"/>
          </w:tcPr>
          <w:p w14:paraId="47AC2FB5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Decan</w:t>
            </w:r>
          </w:p>
          <w:p w14:paraId="33AF162F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Directorii de departament</w:t>
            </w:r>
          </w:p>
          <w:p w14:paraId="5EF2E456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272E9A39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43119D" w:rsidRPr="00F33112" w14:paraId="5B27CD3A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2FBA6E0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E1BB1C0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277ED6DD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48059408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Internaționalizarea învățământului</w:t>
            </w:r>
          </w:p>
        </w:tc>
        <w:tc>
          <w:tcPr>
            <w:tcW w:w="4536" w:type="dxa"/>
          </w:tcPr>
          <w:p w14:paraId="190CD625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</w:t>
            </w:r>
            <w:r w:rsidR="001812B4">
              <w:rPr>
                <w:rFonts w:ascii="Times New Roman" w:hAnsi="Times New Roman"/>
                <w:sz w:val="20"/>
                <w:szCs w:val="20"/>
              </w:rPr>
              <w:t>P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 xml:space="preserve">romovarea </w:t>
            </w:r>
            <w:r w:rsidR="001812B4">
              <w:rPr>
                <w:rFonts w:ascii="Times New Roman" w:hAnsi="Times New Roman"/>
                <w:sz w:val="20"/>
                <w:szCs w:val="20"/>
              </w:rPr>
              <w:t xml:space="preserve">specializărilor de BA și a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 xml:space="preserve">masteratelor cu predarea în limba engleză </w:t>
            </w:r>
          </w:p>
          <w:p w14:paraId="1C7FF7C0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-Dezvoltarea continuă a paginii WEB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br w:type="column"/>
              <w:t>în limba engleză</w:t>
            </w:r>
          </w:p>
          <w:p w14:paraId="74503DF7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-Organizarea în comun cu universități din străinătate a manifestărilor științifice, de popularizare și de practici profesionale </w:t>
            </w:r>
          </w:p>
          <w:p w14:paraId="456615EE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-Oferirea de cursuri la toate specializările în limbi de circulație internațională și facilitarea mobilităților Erasmus</w:t>
            </w:r>
          </w:p>
        </w:tc>
        <w:tc>
          <w:tcPr>
            <w:tcW w:w="1275" w:type="dxa"/>
          </w:tcPr>
          <w:p w14:paraId="78642632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51A4B18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Decan</w:t>
            </w:r>
          </w:p>
          <w:p w14:paraId="4CBFA62B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Directorii de departament</w:t>
            </w:r>
          </w:p>
          <w:p w14:paraId="6F56A04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învăţământ</w:t>
            </w:r>
          </w:p>
          <w:p w14:paraId="694FA9C5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3030CCA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43119D" w:rsidRPr="00F33112" w14:paraId="1FC6F926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20F90A8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D14C7F0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71470A3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4D5EE8FE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Practica profesională</w:t>
            </w:r>
          </w:p>
        </w:tc>
        <w:tc>
          <w:tcPr>
            <w:tcW w:w="4536" w:type="dxa"/>
          </w:tcPr>
          <w:p w14:paraId="4D1D4764" w14:textId="77777777" w:rsidR="00A26E46" w:rsidRDefault="00A26E46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26E46">
              <w:rPr>
                <w:rFonts w:ascii="Times New Roman" w:eastAsia="Times New Roman" w:hAnsi="Times New Roman"/>
                <w:sz w:val="20"/>
                <w:szCs w:val="20"/>
              </w:rPr>
              <w:t>Introducerea unui proces mai amplu de pregătire şi evaluare a practicii</w:t>
            </w:r>
          </w:p>
          <w:p w14:paraId="7748AF7A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Încheierea de acorduri de practică cu agenți economici din țară și străinătate (Erasmus).</w:t>
            </w:r>
          </w:p>
          <w:p w14:paraId="3A80C798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Identificarea unor noi agenți instituționali (firme, ONG-uri, etc.) care să asigură loc de practică pentru studenții noștri</w:t>
            </w:r>
          </w:p>
        </w:tc>
        <w:tc>
          <w:tcPr>
            <w:tcW w:w="1275" w:type="dxa"/>
          </w:tcPr>
          <w:p w14:paraId="7975D7D3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8E5B00A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Responsabilii  programelor de studii, coordonatorii specializărilor, cadrele didactice titulare de curs</w:t>
            </w:r>
          </w:p>
        </w:tc>
        <w:tc>
          <w:tcPr>
            <w:tcW w:w="1134" w:type="dxa"/>
          </w:tcPr>
          <w:p w14:paraId="5E9F492C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Octombrie-februarie</w:t>
            </w:r>
          </w:p>
        </w:tc>
      </w:tr>
      <w:tr w:rsidR="0043119D" w:rsidRPr="00F33112" w14:paraId="65C500DB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2F50EA5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E39F227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200B9C02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786CCA65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Suport electronic pentru procesul de învățământ</w:t>
            </w:r>
          </w:p>
        </w:tc>
        <w:tc>
          <w:tcPr>
            <w:tcW w:w="4536" w:type="dxa"/>
          </w:tcPr>
          <w:p w14:paraId="009D8473" w14:textId="77777777" w:rsidR="0043119D" w:rsidRPr="00842B6F" w:rsidRDefault="00842B6F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2B6F">
              <w:rPr>
                <w:rFonts w:ascii="Times New Roman" w:eastAsia="Times New Roman" w:hAnsi="Times New Roman"/>
                <w:sz w:val="20"/>
                <w:szCs w:val="20"/>
              </w:rPr>
              <w:t>Introducerea tuturor materiilor pe platforma MOODLE pentru a facilita procesul de învățământ</w:t>
            </w:r>
          </w:p>
        </w:tc>
        <w:tc>
          <w:tcPr>
            <w:tcW w:w="1275" w:type="dxa"/>
          </w:tcPr>
          <w:p w14:paraId="35EED7B7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D65A34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Coordonatorii specializărilor, cadrele didactice titulare de curs</w:t>
            </w:r>
          </w:p>
        </w:tc>
        <w:tc>
          <w:tcPr>
            <w:tcW w:w="1134" w:type="dxa"/>
          </w:tcPr>
          <w:p w14:paraId="084F5037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Septembrie</w:t>
            </w:r>
          </w:p>
        </w:tc>
      </w:tr>
      <w:tr w:rsidR="0043119D" w:rsidRPr="00F33112" w14:paraId="02137369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51BEB83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CADC39D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 w:val="restart"/>
          </w:tcPr>
          <w:p w14:paraId="5136294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Examenul de licență</w:t>
            </w:r>
          </w:p>
        </w:tc>
        <w:tc>
          <w:tcPr>
            <w:tcW w:w="2268" w:type="dxa"/>
          </w:tcPr>
          <w:p w14:paraId="25D9D744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Pregătirea examenelor de licență </w:t>
            </w:r>
          </w:p>
        </w:tc>
        <w:tc>
          <w:tcPr>
            <w:tcW w:w="4536" w:type="dxa"/>
          </w:tcPr>
          <w:p w14:paraId="31242312" w14:textId="77777777" w:rsidR="0043119D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Pregătirea examenelor de licență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(alegerea temelor lucrărilor de diplomă/disertație, cerințele elaborării lucrării de diplomă/disertație,  tematică examen, coordonare)</w:t>
            </w:r>
          </w:p>
          <w:p w14:paraId="52623B6F" w14:textId="77777777" w:rsidR="00B45C33" w:rsidRPr="00B45C33" w:rsidRDefault="00B45C33" w:rsidP="00B45C33">
            <w:pPr>
              <w:pStyle w:val="ListParagraph"/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 xml:space="preserve">Regândirea tematicii din punct de vedere a pregătirii studenților în domeniu </w:t>
            </w:r>
          </w:p>
          <w:p w14:paraId="1D8EFF9F" w14:textId="77777777" w:rsidR="00B45C33" w:rsidRPr="00F33112" w:rsidRDefault="00B45C33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</w:rPr>
              <w:t>Armonizarea tematicii cu examenul pentru titularizare</w:t>
            </w:r>
          </w:p>
        </w:tc>
        <w:tc>
          <w:tcPr>
            <w:tcW w:w="1275" w:type="dxa"/>
          </w:tcPr>
          <w:p w14:paraId="11F138A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6E161F0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61B02AC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3E65DDCC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  Coordonatorii de specializări</w:t>
            </w:r>
          </w:p>
        </w:tc>
        <w:tc>
          <w:tcPr>
            <w:tcW w:w="1134" w:type="dxa"/>
          </w:tcPr>
          <w:p w14:paraId="64FABC3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Ianuarie-iunie</w:t>
            </w:r>
          </w:p>
        </w:tc>
      </w:tr>
      <w:tr w:rsidR="0043119D" w:rsidRPr="00F33112" w14:paraId="7F3B737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F3F261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4A40004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A17FE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8B3C04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Organizarea examenelor de licență</w:t>
            </w:r>
          </w:p>
        </w:tc>
        <w:tc>
          <w:tcPr>
            <w:tcW w:w="4536" w:type="dxa"/>
          </w:tcPr>
          <w:p w14:paraId="42E3CF4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Desfășurarea examenelor de licență</w:t>
            </w:r>
          </w:p>
        </w:tc>
        <w:tc>
          <w:tcPr>
            <w:tcW w:w="1275" w:type="dxa"/>
          </w:tcPr>
          <w:p w14:paraId="3893200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7F40421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5F35851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233F978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Membrii comisiei</w:t>
            </w:r>
          </w:p>
        </w:tc>
        <w:tc>
          <w:tcPr>
            <w:tcW w:w="1134" w:type="dxa"/>
          </w:tcPr>
          <w:p w14:paraId="59A3E2A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Iulie, septembrie</w:t>
            </w:r>
          </w:p>
        </w:tc>
      </w:tr>
      <w:tr w:rsidR="0043119D" w:rsidRPr="00F33112" w14:paraId="66AE6567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26C88E2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702D279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2515768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Examenul de admitere</w:t>
            </w:r>
          </w:p>
        </w:tc>
        <w:tc>
          <w:tcPr>
            <w:tcW w:w="2268" w:type="dxa"/>
          </w:tcPr>
          <w:p w14:paraId="4592F68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Admiterea la ciclul I., BA</w:t>
            </w:r>
          </w:p>
        </w:tc>
        <w:tc>
          <w:tcPr>
            <w:tcW w:w="4536" w:type="dxa"/>
          </w:tcPr>
          <w:p w14:paraId="3208EA18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Organizarea si desfășurarea primei sesiuni de examen de admitere </w:t>
            </w:r>
          </w:p>
          <w:p w14:paraId="1B096C0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Organizarea si desfășurarea celei de-a doua sesiuni a </w:t>
            </w:r>
            <w:r w:rsidRPr="00F33112">
              <w:rPr>
                <w:sz w:val="20"/>
                <w:szCs w:val="20"/>
              </w:rPr>
              <w:lastRenderedPageBreak/>
              <w:t>examenului de admitere</w:t>
            </w:r>
          </w:p>
        </w:tc>
        <w:tc>
          <w:tcPr>
            <w:tcW w:w="1275" w:type="dxa"/>
          </w:tcPr>
          <w:p w14:paraId="5381B25D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>Surse proprii</w:t>
            </w:r>
          </w:p>
        </w:tc>
        <w:tc>
          <w:tcPr>
            <w:tcW w:w="1985" w:type="dxa"/>
          </w:tcPr>
          <w:p w14:paraId="31A47C9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0E4D8348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4EB2186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Coordonatorii de specializări</w:t>
            </w:r>
          </w:p>
        </w:tc>
        <w:tc>
          <w:tcPr>
            <w:tcW w:w="1134" w:type="dxa"/>
          </w:tcPr>
          <w:p w14:paraId="215E160F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 xml:space="preserve">Iulie </w:t>
            </w:r>
          </w:p>
          <w:p w14:paraId="3181089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  <w:p w14:paraId="3E33DCE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Septembrie</w:t>
            </w:r>
          </w:p>
        </w:tc>
      </w:tr>
      <w:tr w:rsidR="0043119D" w:rsidRPr="00F33112" w14:paraId="759DFBF5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4B75184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63233C9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EF9A2D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9E9503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Admiterea la ciclul II., MA</w:t>
            </w:r>
          </w:p>
        </w:tc>
        <w:tc>
          <w:tcPr>
            <w:tcW w:w="4536" w:type="dxa"/>
          </w:tcPr>
          <w:p w14:paraId="46B6878C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Organizarea si desfășurarea primei sesiuni de examen de admitere </w:t>
            </w:r>
          </w:p>
          <w:p w14:paraId="637AE99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Organizarea si desfășurarea celei de-a doua sesiuni a examenului de admitere</w:t>
            </w:r>
          </w:p>
        </w:tc>
        <w:tc>
          <w:tcPr>
            <w:tcW w:w="1275" w:type="dxa"/>
          </w:tcPr>
          <w:p w14:paraId="7D6016A0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6A50F0F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3E39CCF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4A77E16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Coordonatorii de specializări</w:t>
            </w:r>
          </w:p>
        </w:tc>
        <w:tc>
          <w:tcPr>
            <w:tcW w:w="1134" w:type="dxa"/>
          </w:tcPr>
          <w:p w14:paraId="740F6B42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Iulie </w:t>
            </w:r>
          </w:p>
          <w:p w14:paraId="0E92B552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  <w:p w14:paraId="2D42C57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Septembrie</w:t>
            </w:r>
          </w:p>
        </w:tc>
      </w:tr>
      <w:tr w:rsidR="00A26E46" w:rsidRPr="00F33112" w14:paraId="60E78EA5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48D7D9C5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BCA2679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32A382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2B78ADD" w14:textId="77777777" w:rsidR="00A26E46" w:rsidRPr="00F33112" w:rsidRDefault="00A26E46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6573BEC" w14:textId="77777777" w:rsidR="00A26E46" w:rsidRPr="00F33112" w:rsidRDefault="00A26E46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BA2751F" w14:textId="77777777" w:rsidR="00A26E46" w:rsidRPr="00F33112" w:rsidRDefault="00A26E46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273FC6F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A7DD74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</w:tr>
      <w:tr w:rsidR="00A26E46" w14:paraId="7E3FF370" w14:textId="77777777" w:rsidTr="00A26E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492D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1925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5317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9177" w14:textId="77777777" w:rsidR="00A26E46" w:rsidRP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t>Promovarea ofertei educaţionale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6297" w14:textId="77777777" w:rsid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t xml:space="preserve">Pregătirea, desfășurarea unor programe de promovare instituționale și proprii, utilizând diferite canale de comunicare </w:t>
            </w:r>
          </w:p>
          <w:p w14:paraId="30F904F6" w14:textId="77777777" w:rsidR="00A26E46" w:rsidRP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t>Stabilirea de parteneriate cu instituţii şi organizaţii din comunitate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1D7E" w14:textId="77777777" w:rsidR="00A26E46" w:rsidRP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5998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  <w:r w:rsidRPr="00A26E46">
              <w:rPr>
                <w:sz w:val="20"/>
                <w:szCs w:val="20"/>
              </w:rPr>
              <w:t>Coordonatorii specializărilor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E880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 continuu</w:t>
            </w:r>
          </w:p>
          <w:p w14:paraId="02512688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</w:tr>
      <w:tr w:rsidR="006D29C9" w14:paraId="0FBCD308" w14:textId="77777777" w:rsidTr="0070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B0D3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3.</w:t>
            </w:r>
          </w:p>
          <w:p w14:paraId="03E60B2A" w14:textId="77777777" w:rsidR="006D29C9" w:rsidRPr="00A26E46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6EF3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Resurse </w:t>
            </w:r>
          </w:p>
          <w:p w14:paraId="5B53400E" w14:textId="77777777" w:rsidR="006D29C9" w:rsidRPr="00A26E46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umane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D52B2" w14:textId="77777777" w:rsidR="006D29C9" w:rsidRPr="00A26E46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Cadre didactice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48F0" w14:textId="77777777" w:rsidR="006D29C9" w:rsidRP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29C9">
              <w:rPr>
                <w:rFonts w:ascii="Times New Roman" w:hAnsi="Times New Roman"/>
                <w:sz w:val="20"/>
                <w:szCs w:val="20"/>
                <w:lang w:val="fr-FR"/>
              </w:rPr>
              <w:t>Măsuri referitoare la calitatea corpului didactic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CE399" w14:textId="77777777" w:rsidR="006D29C9" w:rsidRP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29C9">
              <w:rPr>
                <w:rFonts w:ascii="Times New Roman" w:hAnsi="Times New Roman"/>
                <w:sz w:val="20"/>
                <w:szCs w:val="20"/>
              </w:rPr>
              <w:t>Stabilirea obiectivelor de calitate la nivelul catedrelor, elaborarea procedurilor privind evaluarea personalului didactic, asigurarea transparenţei criteriilor de evaluare;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3833" w14:textId="77777777" w:rsidR="006D29C9" w:rsidRP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29C9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F1A3" w14:textId="77777777" w:rsidR="006D29C9" w:rsidRPr="006D29C9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F6BE" w14:textId="77777777" w:rsidR="006D29C9" w:rsidRPr="006D29C9" w:rsidRDefault="001812B4" w:rsidP="006D29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Septembrie 2023</w:t>
            </w:r>
          </w:p>
        </w:tc>
      </w:tr>
      <w:tr w:rsidR="006D29C9" w:rsidRPr="00F33112" w14:paraId="0661C4DF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8A4F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E318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F346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5293E6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Evaluarea randamentului şi performanțelor cadrelor didactice</w:t>
            </w:r>
          </w:p>
        </w:tc>
        <w:tc>
          <w:tcPr>
            <w:tcW w:w="4536" w:type="dxa"/>
          </w:tcPr>
          <w:p w14:paraId="4A4B2AF0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Autoevaluarea cadrelor didactice </w:t>
            </w:r>
          </w:p>
          <w:p w14:paraId="40BB2469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Evaluări colegiale </w:t>
            </w:r>
          </w:p>
          <w:p w14:paraId="6670A736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Evaluarea cadrelor de către studenți </w:t>
            </w:r>
          </w:p>
          <w:p w14:paraId="0ACB9F0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Asigurarea transparenței criteriilor de evaluare</w:t>
            </w:r>
          </w:p>
        </w:tc>
        <w:tc>
          <w:tcPr>
            <w:tcW w:w="1275" w:type="dxa"/>
          </w:tcPr>
          <w:p w14:paraId="409FC1C7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4BD9D60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7EF458C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7EFEB7C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DC9C3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Februarie-iulie</w:t>
            </w:r>
          </w:p>
        </w:tc>
      </w:tr>
      <w:tr w:rsidR="006D29C9" w:rsidRPr="00F33112" w14:paraId="1BCFFFE4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A5F2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1213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4819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BFD522F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Evaluarea structurilor de cadre didactice </w:t>
            </w:r>
          </w:p>
          <w:p w14:paraId="604688FF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D029A1F" w14:textId="77777777" w:rsidR="006D29C9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Elaborarea statelor de funcţii pe anul următor şi a modului de acoperire </w:t>
            </w:r>
          </w:p>
          <w:p w14:paraId="37DF57ED" w14:textId="77777777" w:rsidR="00B45C33" w:rsidRPr="00B45C33" w:rsidRDefault="00B45C33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</w:rPr>
              <w:t>Distribuirea disciplinelor din planul de învățământ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prin consultare cu fiecare cadru didactic</w:t>
            </w:r>
          </w:p>
        </w:tc>
        <w:tc>
          <w:tcPr>
            <w:tcW w:w="1275" w:type="dxa"/>
          </w:tcPr>
          <w:p w14:paraId="0E3CEF93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52BF910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1A2B7CF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11666EF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BAF18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Februarie- aprilie</w:t>
            </w:r>
          </w:p>
        </w:tc>
      </w:tr>
      <w:tr w:rsidR="006D29C9" w:rsidRPr="00F33112" w14:paraId="4A769F28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8846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B39B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19EA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9AF8A7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Perfecționarea cadrelor didactice </w:t>
            </w:r>
          </w:p>
        </w:tc>
        <w:tc>
          <w:tcPr>
            <w:tcW w:w="4536" w:type="dxa"/>
          </w:tcPr>
          <w:p w14:paraId="4E5EBF81" w14:textId="77777777" w:rsidR="006D29C9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Urmărirea performanțelor doctoranzilor</w:t>
            </w:r>
          </w:p>
          <w:p w14:paraId="23E5A962" w14:textId="77777777" w:rsidR="001812B4" w:rsidRPr="00F33112" w:rsidRDefault="001812B4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Dezvoltarea cadrelor prin participare la diferite trening-uri (cursuri de perfecționare)</w:t>
            </w:r>
          </w:p>
        </w:tc>
        <w:tc>
          <w:tcPr>
            <w:tcW w:w="1275" w:type="dxa"/>
          </w:tcPr>
          <w:p w14:paraId="3C9FCF32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59DC8CA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7D0CB43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</w:tc>
        <w:tc>
          <w:tcPr>
            <w:tcW w:w="1134" w:type="dxa"/>
          </w:tcPr>
          <w:p w14:paraId="6B69874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6D29C9" w:rsidRPr="00F33112" w14:paraId="520C3FEF" w14:textId="77777777" w:rsidTr="0070143A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4939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E6AA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DA8D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EB2E75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Organizarea concursurilor pentru posturi vacante</w:t>
            </w:r>
          </w:p>
        </w:tc>
        <w:tc>
          <w:tcPr>
            <w:tcW w:w="4536" w:type="dxa"/>
          </w:tcPr>
          <w:p w14:paraId="6062E1E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Pregătirea şi desfășurarea concursurilor</w:t>
            </w:r>
          </w:p>
        </w:tc>
        <w:tc>
          <w:tcPr>
            <w:tcW w:w="1275" w:type="dxa"/>
          </w:tcPr>
          <w:p w14:paraId="4C8061C2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7433345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6B6B671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Directorii de departament</w:t>
            </w:r>
          </w:p>
        </w:tc>
        <w:tc>
          <w:tcPr>
            <w:tcW w:w="1134" w:type="dxa"/>
          </w:tcPr>
          <w:p w14:paraId="125E987A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Ianuarie-februarie, Iunie-iulie</w:t>
            </w:r>
          </w:p>
        </w:tc>
      </w:tr>
      <w:tr w:rsidR="006D29C9" w:rsidRPr="00F33112" w14:paraId="63A91791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3AFD95D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4.</w:t>
            </w:r>
          </w:p>
        </w:tc>
        <w:tc>
          <w:tcPr>
            <w:tcW w:w="1418" w:type="dxa"/>
            <w:vMerge w:val="restart"/>
          </w:tcPr>
          <w:p w14:paraId="2D69D65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Cercetarea </w:t>
            </w:r>
          </w:p>
          <w:p w14:paraId="50505F6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științifică </w:t>
            </w:r>
          </w:p>
        </w:tc>
        <w:tc>
          <w:tcPr>
            <w:tcW w:w="1701" w:type="dxa"/>
            <w:vMerge w:val="restart"/>
          </w:tcPr>
          <w:p w14:paraId="3669F60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Strategia de cercetare</w:t>
            </w:r>
          </w:p>
        </w:tc>
        <w:tc>
          <w:tcPr>
            <w:tcW w:w="2268" w:type="dxa"/>
          </w:tcPr>
          <w:p w14:paraId="1A100FB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Aplicarea strategiei de cercetare a departamentului</w:t>
            </w:r>
          </w:p>
        </w:tc>
        <w:tc>
          <w:tcPr>
            <w:tcW w:w="4536" w:type="dxa"/>
          </w:tcPr>
          <w:p w14:paraId="7537703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Operaționalizarea strategiei de cercetare pe specializării și cadre didactice </w:t>
            </w:r>
          </w:p>
          <w:p w14:paraId="6AD7CEA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Actualizarea planurilor de cercetare ale departamentelor </w:t>
            </w:r>
          </w:p>
          <w:p w14:paraId="7420E31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Actualizarea bazei de date a cercetării</w:t>
            </w:r>
          </w:p>
        </w:tc>
        <w:tc>
          <w:tcPr>
            <w:tcW w:w="1275" w:type="dxa"/>
          </w:tcPr>
          <w:p w14:paraId="2CB5E41F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8FD343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Secretarul științific al facultății</w:t>
            </w:r>
          </w:p>
          <w:p w14:paraId="04C9936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</w:tc>
        <w:tc>
          <w:tcPr>
            <w:tcW w:w="1134" w:type="dxa"/>
          </w:tcPr>
          <w:p w14:paraId="4428935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Ianuarie-</w:t>
            </w:r>
            <w:r w:rsidR="00B37A86">
              <w:rPr>
                <w:rFonts w:ascii="Times New Roman" w:hAnsi="Times New Roman"/>
                <w:sz w:val="20"/>
                <w:szCs w:val="20"/>
              </w:rPr>
              <w:t>septembrie</w:t>
            </w:r>
          </w:p>
        </w:tc>
      </w:tr>
      <w:tr w:rsidR="006D29C9" w:rsidRPr="00F33112" w14:paraId="5CB179A3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68FA00E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A014E9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F32062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D22B83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Îmbunătățirea </w:t>
            </w:r>
            <w:r w:rsidRPr="00F33112">
              <w:rPr>
                <w:sz w:val="20"/>
                <w:szCs w:val="20"/>
              </w:rPr>
              <w:lastRenderedPageBreak/>
              <w:t xml:space="preserve">performanței științifice şi a publicațiilor de profil </w:t>
            </w:r>
          </w:p>
        </w:tc>
        <w:tc>
          <w:tcPr>
            <w:tcW w:w="4536" w:type="dxa"/>
          </w:tcPr>
          <w:p w14:paraId="78022311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-Cărți publicate pe  baza unor cercetări individuale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>sau colective.</w:t>
            </w:r>
          </w:p>
          <w:p w14:paraId="0508448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-Creșterea numărului de publicații la reviste cotate;</w:t>
            </w:r>
          </w:p>
          <w:p w14:paraId="2938D01F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-Definirea unor profiluri şi programe individuale şi colective de cercetare pe termen mediu, prezentarea continuă a rezultatelor </w:t>
            </w:r>
          </w:p>
          <w:p w14:paraId="03950524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-Organizarea unor mese rotunde, prelegeri, etc.</w:t>
            </w:r>
          </w:p>
          <w:p w14:paraId="06F2DB5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-Integrarea studenților de la nivelul master în programe de cercetare</w:t>
            </w:r>
          </w:p>
        </w:tc>
        <w:tc>
          <w:tcPr>
            <w:tcW w:w="1275" w:type="dxa"/>
          </w:tcPr>
          <w:p w14:paraId="2DD496D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FAB2C2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Secretarul științific al </w:t>
            </w:r>
            <w:r w:rsidRPr="00F33112">
              <w:rPr>
                <w:sz w:val="20"/>
                <w:szCs w:val="20"/>
              </w:rPr>
              <w:lastRenderedPageBreak/>
              <w:t>facultății</w:t>
            </w:r>
          </w:p>
          <w:p w14:paraId="74C934D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  <w:p w14:paraId="65FD458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4060CD5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 xml:space="preserve">Pe tot </w:t>
            </w:r>
            <w:r w:rsidRPr="00F33112">
              <w:rPr>
                <w:sz w:val="20"/>
                <w:szCs w:val="20"/>
              </w:rPr>
              <w:lastRenderedPageBreak/>
              <w:t>parcursul anului</w:t>
            </w:r>
          </w:p>
        </w:tc>
      </w:tr>
      <w:tr w:rsidR="006D29C9" w:rsidRPr="00F33112" w14:paraId="1FBE4275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1F943A8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497395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087FC40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Creșterea cantității și calității cercetării științifice</w:t>
            </w:r>
          </w:p>
        </w:tc>
        <w:tc>
          <w:tcPr>
            <w:tcW w:w="2268" w:type="dxa"/>
          </w:tcPr>
          <w:p w14:paraId="289113D2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Atragerea de resurse financiare externe destinat cercetării</w:t>
            </w:r>
          </w:p>
        </w:tc>
        <w:tc>
          <w:tcPr>
            <w:tcW w:w="4536" w:type="dxa"/>
          </w:tcPr>
          <w:p w14:paraId="60B224BF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- Identificarea programelor de finanțare la nivel local, județean, internațional</w:t>
            </w:r>
          </w:p>
          <w:p w14:paraId="2D389BD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- Pregătirea unor proiecte pentru granturi şi alte surse de finanțare permanente interne şi externe</w:t>
            </w:r>
          </w:p>
          <w:p w14:paraId="6FBF428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- Identificarea unor proiecte şi programe de cercetare finanțate de agenți economici</w:t>
            </w:r>
          </w:p>
        </w:tc>
        <w:tc>
          <w:tcPr>
            <w:tcW w:w="1275" w:type="dxa"/>
          </w:tcPr>
          <w:p w14:paraId="1767EA1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8C654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Directorul de departament, coordonatorii specializărilor, cadre didactice </w:t>
            </w:r>
          </w:p>
        </w:tc>
        <w:tc>
          <w:tcPr>
            <w:tcW w:w="1134" w:type="dxa"/>
          </w:tcPr>
          <w:p w14:paraId="0D15FE02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permanent</w:t>
            </w:r>
          </w:p>
        </w:tc>
      </w:tr>
      <w:tr w:rsidR="006D29C9" w:rsidRPr="00F33112" w14:paraId="5BCAEE4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6108510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719612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3B1907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E007AB4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Cooperări cu alte facultăți şi instituții </w:t>
            </w:r>
          </w:p>
        </w:tc>
        <w:tc>
          <w:tcPr>
            <w:tcW w:w="4536" w:type="dxa"/>
          </w:tcPr>
          <w:p w14:paraId="437011D3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-Identificarea potențialilor parteneri;</w:t>
            </w:r>
          </w:p>
          <w:p w14:paraId="3D689B9A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-Sprijinirea cu prioritate a activităților de cercetare care promovează  colective de cercetare comune cu colective din afara facultății</w:t>
            </w:r>
          </w:p>
          <w:p w14:paraId="71263583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 Aprofundarea cooperării cu universități de prestigiu</w:t>
            </w:r>
          </w:p>
        </w:tc>
        <w:tc>
          <w:tcPr>
            <w:tcW w:w="1275" w:type="dxa"/>
          </w:tcPr>
          <w:p w14:paraId="61DFE93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6038C5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312CEFB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 Secretarul științific al facultății</w:t>
            </w:r>
          </w:p>
          <w:p w14:paraId="23F59CE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  <w:p w14:paraId="2090CD5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6E23504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7A01BDEC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1323449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B0B8DA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545307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A61B41B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Mediatizarea activității de cercetare </w:t>
            </w:r>
          </w:p>
        </w:tc>
        <w:tc>
          <w:tcPr>
            <w:tcW w:w="4536" w:type="dxa"/>
          </w:tcPr>
          <w:p w14:paraId="314725FC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-Susținerea activității de promovare a publicațiilor membrilor instituției</w:t>
            </w:r>
          </w:p>
          <w:p w14:paraId="1188F48A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-Publicitate susținută pentru publicațiile şi evenimentele științifice ale membrilor instituției</w:t>
            </w:r>
          </w:p>
        </w:tc>
        <w:tc>
          <w:tcPr>
            <w:tcW w:w="1275" w:type="dxa"/>
          </w:tcPr>
          <w:p w14:paraId="4E1A0A4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8083B5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4ED8C59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 Secretarul științific al facultății</w:t>
            </w:r>
          </w:p>
          <w:p w14:paraId="6D20A43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  <w:p w14:paraId="1848CFF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3C5DEAB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0003A504" w14:textId="77777777" w:rsidTr="001135EA">
        <w:tblPrEx>
          <w:tblCellMar>
            <w:top w:w="0" w:type="dxa"/>
            <w:bottom w:w="0" w:type="dxa"/>
          </w:tblCellMar>
        </w:tblPrEx>
        <w:trPr>
          <w:trHeight w:val="1124"/>
        </w:trPr>
        <w:tc>
          <w:tcPr>
            <w:tcW w:w="568" w:type="dxa"/>
            <w:vMerge/>
          </w:tcPr>
          <w:p w14:paraId="2FE0125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22BE34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BAEE9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65EE700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Conferințe științifice</w:t>
            </w:r>
          </w:p>
        </w:tc>
        <w:tc>
          <w:tcPr>
            <w:tcW w:w="4536" w:type="dxa"/>
          </w:tcPr>
          <w:p w14:paraId="21D0B8ED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 Sprijinirea participării cadrelor didactice cu prezentații la conferințe internaționale de prestigiu</w:t>
            </w:r>
          </w:p>
          <w:p w14:paraId="5F533257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 Susținerea cadrelor didactice în demersurile acestora de a fi invitate la prezentarea rezultatelor proprii de cercetare în plenul onor conferințe de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>prestigiu</w:t>
            </w:r>
          </w:p>
          <w:p w14:paraId="15BF101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 Organizarea de conferințe științifice regionale şi internaționale de prestigiu  </w:t>
            </w:r>
          </w:p>
        </w:tc>
        <w:tc>
          <w:tcPr>
            <w:tcW w:w="1275" w:type="dxa"/>
          </w:tcPr>
          <w:p w14:paraId="5DD83B8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 xml:space="preserve">Surse proprii, taxe de participare, </w:t>
            </w:r>
          </w:p>
          <w:p w14:paraId="4B71BF8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proiecte, alte </w:t>
            </w:r>
            <w:r w:rsidRPr="00F33112">
              <w:rPr>
                <w:sz w:val="20"/>
                <w:szCs w:val="20"/>
              </w:rPr>
              <w:lastRenderedPageBreak/>
              <w:t>surse (donații, sponsorizări)</w:t>
            </w:r>
          </w:p>
        </w:tc>
        <w:tc>
          <w:tcPr>
            <w:tcW w:w="1985" w:type="dxa"/>
          </w:tcPr>
          <w:p w14:paraId="65CE85E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Directorii de departament</w:t>
            </w:r>
          </w:p>
          <w:p w14:paraId="3EF498A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de programe,</w:t>
            </w:r>
          </w:p>
          <w:p w14:paraId="4892454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Secretar științific </w:t>
            </w:r>
          </w:p>
          <w:p w14:paraId="2E783DC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E71A1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anual</w:t>
            </w:r>
          </w:p>
          <w:p w14:paraId="1DDFD40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2ED689F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77782FC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58CEF8E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1730AF7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41C8E68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5341025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</w:tr>
      <w:tr w:rsidR="006D29C9" w:rsidRPr="00F33112" w14:paraId="46BCEC66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26DE430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7BE1C5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352112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E68072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Accesul cadrelor didactice la revistele de specialitate </w:t>
            </w:r>
          </w:p>
        </w:tc>
        <w:tc>
          <w:tcPr>
            <w:tcW w:w="4536" w:type="dxa"/>
          </w:tcPr>
          <w:p w14:paraId="07E6B5F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Asigurarea accesului la baze de date a revistelor de specialitate</w:t>
            </w:r>
          </w:p>
        </w:tc>
        <w:tc>
          <w:tcPr>
            <w:tcW w:w="1275" w:type="dxa"/>
          </w:tcPr>
          <w:p w14:paraId="38E07072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5468E7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Directorul de departament</w:t>
            </w:r>
          </w:p>
        </w:tc>
        <w:tc>
          <w:tcPr>
            <w:tcW w:w="1134" w:type="dxa"/>
          </w:tcPr>
          <w:p w14:paraId="4ED46F4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permanent</w:t>
            </w:r>
          </w:p>
        </w:tc>
      </w:tr>
      <w:tr w:rsidR="006D29C9" w:rsidRPr="00F33112" w14:paraId="49DB54DA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58C5F27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1418" w:type="dxa"/>
            <w:vMerge w:val="restart"/>
          </w:tcPr>
          <w:p w14:paraId="3CF3071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Studenții</w:t>
            </w:r>
          </w:p>
        </w:tc>
        <w:tc>
          <w:tcPr>
            <w:tcW w:w="1701" w:type="dxa"/>
          </w:tcPr>
          <w:p w14:paraId="52649523" w14:textId="77777777" w:rsidR="006D29C9" w:rsidRPr="00842B6F" w:rsidRDefault="006D29C9" w:rsidP="006D29C9">
            <w:pPr>
              <w:pStyle w:val="NormalWeb"/>
              <w:spacing w:before="0" w:beforeAutospacing="0" w:after="200" w:afterAutospacing="0"/>
            </w:pPr>
            <w:r>
              <w:rPr>
                <w:color w:val="000000"/>
                <w:sz w:val="18"/>
                <w:szCs w:val="18"/>
              </w:rPr>
              <w:t> Îmbunătăţirea serviciilor educaţionale oferite studenţilor</w:t>
            </w:r>
          </w:p>
        </w:tc>
        <w:tc>
          <w:tcPr>
            <w:tcW w:w="2268" w:type="dxa"/>
          </w:tcPr>
          <w:p w14:paraId="77BA42FE" w14:textId="77777777" w:rsidR="006D29C9" w:rsidRPr="00F33112" w:rsidRDefault="00B45C33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Inițierea și implicarea studenților în procesul de învățare</w:t>
            </w:r>
          </w:p>
        </w:tc>
        <w:tc>
          <w:tcPr>
            <w:tcW w:w="4536" w:type="dxa"/>
          </w:tcPr>
          <w:p w14:paraId="3FA8FDF7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Îmbunătăţirea conţinutului cursurilor şi seminariilor, actualizarea informaţiilor transmise studenţilor facilitarea accesului la baza informatică a studenţilor, creşterea gradului de folosire a reţelelor;</w:t>
            </w:r>
          </w:p>
          <w:p w14:paraId="5123B197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Creşterea disciplinei învăţării: prezenţa mai bună la ore a studenţilor; în acest sens - cursurile să-şi sporească caracterul interactive, comunicarea informaţiilor se face într-o manieră dinamică, interesantă;</w:t>
            </w:r>
          </w:p>
          <w:p w14:paraId="6160C4EC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Acces multiplu la diferitele surse de informare legate de procesul didactic (Internet, afişaj)</w:t>
            </w:r>
          </w:p>
          <w:p w14:paraId="586F6E1F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Forme de asistare de către mentori și tutori din rândul cadrelor didactice</w:t>
            </w:r>
          </w:p>
          <w:p w14:paraId="45E073AD" w14:textId="77777777" w:rsid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Implicarea studenţilor în activităţi de cercetare, fie în programe de cercetare proprii cadrelor didactice, fie în unele independente</w:t>
            </w:r>
          </w:p>
          <w:p w14:paraId="4EC29A93" w14:textId="77777777" w:rsidR="00B37A86" w:rsidRPr="00C47D1A" w:rsidRDefault="00B37A86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D1A">
              <w:rPr>
                <w:rFonts w:ascii="Times New Roman" w:hAnsi="Times New Roman"/>
                <w:sz w:val="20"/>
                <w:szCs w:val="20"/>
              </w:rPr>
              <w:t>Supervizarea aplicării capitolelor referitoare la studenţi a diferitelor regulamente</w:t>
            </w:r>
          </w:p>
        </w:tc>
        <w:tc>
          <w:tcPr>
            <w:tcW w:w="1275" w:type="dxa"/>
          </w:tcPr>
          <w:p w14:paraId="1AB0D45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CCFE142" w14:textId="77777777" w:rsidR="006D29C9" w:rsidRDefault="00B45C33" w:rsidP="006D29C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Directorul de departament</w:t>
            </w:r>
            <w:r>
              <w:rPr>
                <w:rFonts w:eastAsia="Times New Roman"/>
                <w:sz w:val="20"/>
                <w:szCs w:val="20"/>
              </w:rPr>
              <w:t>,</w:t>
            </w:r>
          </w:p>
          <w:p w14:paraId="1E0162EA" w14:textId="77777777" w:rsidR="00B45C33" w:rsidRPr="00F33112" w:rsidRDefault="00B45C33" w:rsidP="006D29C9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Toate cadrele</w:t>
            </w:r>
          </w:p>
        </w:tc>
        <w:tc>
          <w:tcPr>
            <w:tcW w:w="1134" w:type="dxa"/>
          </w:tcPr>
          <w:p w14:paraId="363C7ED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4D5BF28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7E52F8F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0274B9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8CC55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Programe de mobilitate</w:t>
            </w:r>
          </w:p>
        </w:tc>
        <w:tc>
          <w:tcPr>
            <w:tcW w:w="2268" w:type="dxa"/>
          </w:tcPr>
          <w:p w14:paraId="497B656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Participarea studenților la programe de mobilitate Erasmus, Makovecz</w:t>
            </w:r>
          </w:p>
        </w:tc>
        <w:tc>
          <w:tcPr>
            <w:tcW w:w="4536" w:type="dxa"/>
          </w:tcPr>
          <w:p w14:paraId="1DED4515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Informarea studenților, organizarea programelor</w:t>
            </w:r>
          </w:p>
        </w:tc>
        <w:tc>
          <w:tcPr>
            <w:tcW w:w="1275" w:type="dxa"/>
          </w:tcPr>
          <w:p w14:paraId="3280005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oferite de programele de mobilitate</w:t>
            </w:r>
          </w:p>
        </w:tc>
        <w:tc>
          <w:tcPr>
            <w:tcW w:w="1985" w:type="dxa"/>
          </w:tcPr>
          <w:p w14:paraId="739A991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Coordonator ERASMUS, coordonator programe, responsabil program/coordonator specializare</w:t>
            </w:r>
          </w:p>
        </w:tc>
        <w:tc>
          <w:tcPr>
            <w:tcW w:w="1134" w:type="dxa"/>
          </w:tcPr>
          <w:p w14:paraId="0CEF249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19216263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5B72E81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23DF6F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E39632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i/>
                <w:sz w:val="20"/>
                <w:szCs w:val="20"/>
              </w:rPr>
              <w:t>Cercetare</w:t>
            </w:r>
          </w:p>
          <w:p w14:paraId="7A9E038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Sprijinirea studenților talentați</w:t>
            </w:r>
          </w:p>
        </w:tc>
        <w:tc>
          <w:tcPr>
            <w:tcW w:w="2268" w:type="dxa"/>
          </w:tcPr>
          <w:p w14:paraId="1AF9E74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Participarea studenţilor la proiecte de cercetare Organizarea de workshopuri Prelegeri cu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invitaţi de prestigiu</w:t>
            </w:r>
          </w:p>
          <w:p w14:paraId="00294551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Muncă tutorială cu studenții talentați</w:t>
            </w:r>
          </w:p>
        </w:tc>
        <w:tc>
          <w:tcPr>
            <w:tcW w:w="4536" w:type="dxa"/>
          </w:tcPr>
          <w:p w14:paraId="4A54D758" w14:textId="77777777" w:rsidR="006D29C9" w:rsidRPr="009F785A" w:rsidRDefault="006D29C9" w:rsidP="00E71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u-HU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Cooptarea studenţilor în proiecte de cercetare, programe realizate prin Centrul de Excelență Janus Panonius</w:t>
            </w:r>
            <w:r w:rsidR="009F785A">
              <w:rPr>
                <w:rFonts w:ascii="Times New Roman" w:eastAsia="Times New Roman" w:hAnsi="Times New Roman"/>
                <w:sz w:val="20"/>
                <w:szCs w:val="20"/>
              </w:rPr>
              <w:t>, VAN kutat</w:t>
            </w:r>
            <w:r w:rsidR="009F785A">
              <w:rPr>
                <w:rFonts w:ascii="Times New Roman" w:eastAsia="Times New Roman" w:hAnsi="Times New Roman"/>
                <w:sz w:val="20"/>
                <w:szCs w:val="20"/>
                <w:lang w:val="hu-HU"/>
              </w:rPr>
              <w:t xml:space="preserve">óműhely, Pályám emlékezete, etc. </w:t>
            </w:r>
          </w:p>
          <w:p w14:paraId="33D6172C" w14:textId="77777777" w:rsidR="00B45C33" w:rsidRPr="00F33112" w:rsidRDefault="00B45C33" w:rsidP="00E71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Organizarea unor workshopuri în limbi străine</w:t>
            </w:r>
          </w:p>
        </w:tc>
        <w:tc>
          <w:tcPr>
            <w:tcW w:w="1275" w:type="dxa"/>
          </w:tcPr>
          <w:p w14:paraId="3743D0C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lastRenderedPageBreak/>
              <w:t>Surse alocate centrului de excelență</w:t>
            </w:r>
          </w:p>
        </w:tc>
        <w:tc>
          <w:tcPr>
            <w:tcW w:w="1985" w:type="dxa"/>
          </w:tcPr>
          <w:p w14:paraId="3FADE57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Secretarii științifici de departament</w:t>
            </w:r>
          </w:p>
          <w:p w14:paraId="0D4911C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Responsabilii de program</w:t>
            </w:r>
          </w:p>
          <w:p w14:paraId="473AAE7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lastRenderedPageBreak/>
              <w:t>Toate cadrele didactice</w:t>
            </w:r>
          </w:p>
        </w:tc>
        <w:tc>
          <w:tcPr>
            <w:tcW w:w="1134" w:type="dxa"/>
          </w:tcPr>
          <w:p w14:paraId="3144028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Pe tot parcursul anului</w:t>
            </w:r>
          </w:p>
        </w:tc>
      </w:tr>
      <w:tr w:rsidR="006D29C9" w:rsidRPr="00F33112" w14:paraId="59196AF9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0C8410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D73E4A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217306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Conferințe</w:t>
            </w:r>
          </w:p>
        </w:tc>
        <w:tc>
          <w:tcPr>
            <w:tcW w:w="2268" w:type="dxa"/>
          </w:tcPr>
          <w:p w14:paraId="3EA8F4E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Participarea studenţilor la Sesiunea Ştiinţifică a Studenţilor organizată de Universitatea Creştină Partium</w:t>
            </w:r>
          </w:p>
          <w:p w14:paraId="72C803B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Facilitarea participării studenţilor la conferinţe studenţeşti organizate în alte centre universitare</w:t>
            </w:r>
          </w:p>
        </w:tc>
        <w:tc>
          <w:tcPr>
            <w:tcW w:w="4536" w:type="dxa"/>
          </w:tcPr>
          <w:p w14:paraId="7E42FCA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Pregătirea și desfășurarea evenimentului</w:t>
            </w:r>
          </w:p>
          <w:p w14:paraId="6AE3CB5D" w14:textId="77777777" w:rsidR="006D29C9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Asigurarea resurselor</w:t>
            </w:r>
          </w:p>
          <w:p w14:paraId="3FFDA53F" w14:textId="77777777" w:rsidR="00B37A86" w:rsidRPr="00B37A86" w:rsidRDefault="00B37A86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7A86">
              <w:rPr>
                <w:rFonts w:ascii="Times New Roman" w:hAnsi="Times New Roman"/>
                <w:sz w:val="20"/>
                <w:szCs w:val="20"/>
              </w:rPr>
              <w:t>Facilitarea participării studenţilor la conferinţe studenţeşti organizate în alte centre universitare</w:t>
            </w:r>
          </w:p>
        </w:tc>
        <w:tc>
          <w:tcPr>
            <w:tcW w:w="1275" w:type="dxa"/>
          </w:tcPr>
          <w:p w14:paraId="00B9427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alocate conferinţe, proiecte</w:t>
            </w:r>
          </w:p>
        </w:tc>
        <w:tc>
          <w:tcPr>
            <w:tcW w:w="1985" w:type="dxa"/>
          </w:tcPr>
          <w:p w14:paraId="5E37D49A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 programe,</w:t>
            </w:r>
          </w:p>
          <w:p w14:paraId="1EE3FE1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Secretari ştiinţifici, toate cadrele</w:t>
            </w:r>
          </w:p>
        </w:tc>
        <w:tc>
          <w:tcPr>
            <w:tcW w:w="1134" w:type="dxa"/>
          </w:tcPr>
          <w:p w14:paraId="2B96F3F3" w14:textId="77777777" w:rsidR="006D29C9" w:rsidRPr="00F33112" w:rsidRDefault="00B37A86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Periodic</w:t>
            </w:r>
          </w:p>
        </w:tc>
      </w:tr>
      <w:tr w:rsidR="006D29C9" w:rsidRPr="00F33112" w14:paraId="4DC7E221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F29A70D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BFA7A5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333FC3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Excursii profesionale de specialitate </w:t>
            </w:r>
          </w:p>
        </w:tc>
        <w:tc>
          <w:tcPr>
            <w:tcW w:w="2268" w:type="dxa"/>
          </w:tcPr>
          <w:p w14:paraId="4C5F0AE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Participarea studenţilor la alte activităţi /excursie Viena/Budapesta/</w:t>
            </w:r>
            <w:r w:rsidR="00B45C33">
              <w:rPr>
                <w:rFonts w:ascii="Times New Roman" w:eastAsia="Times New Roman" w:hAnsi="Times New Roman"/>
                <w:sz w:val="20"/>
                <w:szCs w:val="20"/>
              </w:rPr>
              <w:t>London/Bad Kissingen, etc</w:t>
            </w:r>
          </w:p>
          <w:p w14:paraId="7531A8E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programe culturale</w:t>
            </w:r>
          </w:p>
        </w:tc>
        <w:tc>
          <w:tcPr>
            <w:tcW w:w="4536" w:type="dxa"/>
          </w:tcPr>
          <w:p w14:paraId="0D29FBE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Pregătirea și desfășurarea evenimentelor </w:t>
            </w:r>
          </w:p>
          <w:p w14:paraId="1EB210DC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Asigurarea resurselor</w:t>
            </w:r>
          </w:p>
        </w:tc>
        <w:tc>
          <w:tcPr>
            <w:tcW w:w="1275" w:type="dxa"/>
          </w:tcPr>
          <w:p w14:paraId="303D7B0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proprii, taxe de participare, alte surse (donaţii, sponsorizări)</w:t>
            </w:r>
          </w:p>
        </w:tc>
        <w:tc>
          <w:tcPr>
            <w:tcW w:w="1985" w:type="dxa"/>
          </w:tcPr>
          <w:p w14:paraId="41A56A6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Coordonatori specializări, </w:t>
            </w:r>
          </w:p>
          <w:p w14:paraId="01EEAC8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 toate cadrele</w:t>
            </w:r>
          </w:p>
        </w:tc>
        <w:tc>
          <w:tcPr>
            <w:tcW w:w="1134" w:type="dxa"/>
          </w:tcPr>
          <w:p w14:paraId="3C5CC39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Pe tot parcursul anului </w:t>
            </w:r>
          </w:p>
        </w:tc>
      </w:tr>
      <w:tr w:rsidR="006D29C9" w:rsidRPr="00F33112" w14:paraId="1C47A571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83AE2E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61FACB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832629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Alte activităţi </w:t>
            </w:r>
          </w:p>
        </w:tc>
        <w:tc>
          <w:tcPr>
            <w:tcW w:w="2268" w:type="dxa"/>
          </w:tcPr>
          <w:p w14:paraId="5FFD20D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Ziua de orientare pentru studenții din anul I.</w:t>
            </w:r>
            <w:r w:rsidR="005F639A">
              <w:rPr>
                <w:rFonts w:ascii="Times New Roman" w:eastAsia="Times New Roman" w:hAnsi="Times New Roman"/>
                <w:sz w:val="20"/>
                <w:szCs w:val="20"/>
              </w:rPr>
              <w:t xml:space="preserve"> Teambuilding. Festivități de Crăciun.</w:t>
            </w:r>
          </w:p>
        </w:tc>
        <w:tc>
          <w:tcPr>
            <w:tcW w:w="4536" w:type="dxa"/>
          </w:tcPr>
          <w:p w14:paraId="0CE16D63" w14:textId="77777777" w:rsidR="006D29C9" w:rsidRPr="005F639A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39A">
              <w:rPr>
                <w:rFonts w:ascii="Times New Roman" w:eastAsia="Times New Roman" w:hAnsi="Times New Roman"/>
                <w:sz w:val="20"/>
                <w:szCs w:val="20"/>
              </w:rPr>
              <w:t>Pregătirea și desfășurarea evenimentului</w:t>
            </w:r>
            <w:r w:rsidR="005F639A" w:rsidRPr="005F639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3F2E38EB" w14:textId="77777777" w:rsidR="005F639A" w:rsidRPr="005F639A" w:rsidRDefault="005F639A" w:rsidP="005F63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639A">
              <w:rPr>
                <w:rFonts w:ascii="Times New Roman" w:eastAsia="Times New Roman" w:hAnsi="Times New Roman"/>
                <w:sz w:val="20"/>
                <w:szCs w:val="20"/>
              </w:rPr>
              <w:t>Sprijinirea studenților de a</w:t>
            </w:r>
            <w:r w:rsidRPr="005F639A">
              <w:rPr>
                <w:rFonts w:ascii="Times New Roman" w:hAnsi="Times New Roman"/>
                <w:sz w:val="20"/>
                <w:szCs w:val="20"/>
              </w:rPr>
              <w:t xml:space="preserve"> particip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5F639A">
              <w:rPr>
                <w:rFonts w:ascii="Times New Roman" w:hAnsi="Times New Roman"/>
                <w:sz w:val="20"/>
                <w:szCs w:val="20"/>
              </w:rPr>
              <w:t xml:space="preserve"> la viaţa universitară prin întărirea colaborării cu cadrele didactice și cu colegii de studiu</w:t>
            </w:r>
          </w:p>
          <w:p w14:paraId="6B4A73EC" w14:textId="77777777" w:rsidR="005F639A" w:rsidRPr="00F33112" w:rsidRDefault="005F639A" w:rsidP="005F6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39A">
              <w:rPr>
                <w:rFonts w:ascii="Times New Roman" w:hAnsi="Times New Roman"/>
                <w:sz w:val="20"/>
                <w:szCs w:val="20"/>
              </w:rPr>
              <w:t>Dezvoltarea competențelor transversale</w:t>
            </w:r>
          </w:p>
        </w:tc>
        <w:tc>
          <w:tcPr>
            <w:tcW w:w="1275" w:type="dxa"/>
          </w:tcPr>
          <w:p w14:paraId="224E1BCC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298D2CB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Coordonatori specializări</w:t>
            </w:r>
          </w:p>
        </w:tc>
        <w:tc>
          <w:tcPr>
            <w:tcW w:w="1134" w:type="dxa"/>
          </w:tcPr>
          <w:p w14:paraId="27F9268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Octombrie  </w:t>
            </w:r>
          </w:p>
        </w:tc>
      </w:tr>
      <w:tr w:rsidR="006D29C9" w:rsidRPr="00F33112" w14:paraId="0B19573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3A2B3D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3D95BF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4AA53C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5B9CA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Festivitate de absolvire</w:t>
            </w:r>
          </w:p>
        </w:tc>
        <w:tc>
          <w:tcPr>
            <w:tcW w:w="4536" w:type="dxa"/>
          </w:tcPr>
          <w:p w14:paraId="0694A8F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Pregătirea și desfășurarea evenimentului</w:t>
            </w:r>
          </w:p>
        </w:tc>
        <w:tc>
          <w:tcPr>
            <w:tcW w:w="1275" w:type="dxa"/>
          </w:tcPr>
          <w:p w14:paraId="102251AA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0FA3A30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Coordonatori specializări</w:t>
            </w:r>
          </w:p>
        </w:tc>
        <w:tc>
          <w:tcPr>
            <w:tcW w:w="1134" w:type="dxa"/>
          </w:tcPr>
          <w:p w14:paraId="13B1125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Iunie </w:t>
            </w:r>
          </w:p>
        </w:tc>
      </w:tr>
      <w:tr w:rsidR="006D29C9" w:rsidRPr="00F33112" w14:paraId="0C122D63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6632C67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4F5CBD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49A629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C5AA2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Sprijinul activităţii consiliului studenţilor </w:t>
            </w:r>
          </w:p>
          <w:p w14:paraId="271E605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Sprijinirea studenţilor cu situaţie socială defavorizată</w:t>
            </w:r>
          </w:p>
        </w:tc>
        <w:tc>
          <w:tcPr>
            <w:tcW w:w="4536" w:type="dxa"/>
          </w:tcPr>
          <w:p w14:paraId="53626A8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Alocare de burse </w:t>
            </w:r>
          </w:p>
        </w:tc>
        <w:tc>
          <w:tcPr>
            <w:tcW w:w="1275" w:type="dxa"/>
          </w:tcPr>
          <w:p w14:paraId="019CB79A" w14:textId="77777777" w:rsidR="006D29C9" w:rsidRPr="00F33112" w:rsidRDefault="00E71F9D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743C2F2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EA3C2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D29C9" w:rsidRPr="00F33112" w14:paraId="45D506E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3063EF8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4E9E41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02777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0156C34C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  <w:r w:rsidRPr="00842B6F">
              <w:rPr>
                <w:sz w:val="20"/>
                <w:szCs w:val="20"/>
              </w:rPr>
              <w:t xml:space="preserve">Alumni </w:t>
            </w:r>
          </w:p>
          <w:p w14:paraId="788EDD86" w14:textId="77777777" w:rsidR="006D29C9" w:rsidRPr="00842B6F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D55040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 xml:space="preserve">Dezvoltarea sistemului ALUMNI cu scopul de a aduna informaţii privind necesarul de forţă de muncă şi şansele absolvenţilor </w:t>
            </w:r>
          </w:p>
        </w:tc>
        <w:tc>
          <w:tcPr>
            <w:tcW w:w="4536" w:type="dxa"/>
          </w:tcPr>
          <w:p w14:paraId="61745BEC" w14:textId="77777777" w:rsidR="006D29C9" w:rsidRPr="00842B6F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2B6F">
              <w:rPr>
                <w:rFonts w:ascii="Times New Roman" w:eastAsia="Times New Roman" w:hAnsi="Times New Roman"/>
                <w:sz w:val="20"/>
                <w:szCs w:val="20"/>
              </w:rPr>
              <w:t xml:space="preserve">- Urmărirea carierei profesionale a absolvenților </w:t>
            </w:r>
          </w:p>
          <w:p w14:paraId="47F7612C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eastAsia="Times New Roman" w:hAnsi="Times New Roman"/>
                <w:sz w:val="20"/>
                <w:szCs w:val="20"/>
              </w:rPr>
              <w:t>- Constituirea şi actualizarea bazei de date a absolvenților</w:t>
            </w:r>
            <w:r w:rsidRPr="00842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7857B929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867547A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  <w:r w:rsidRPr="00842B6F">
              <w:rPr>
                <w:sz w:val="20"/>
                <w:szCs w:val="20"/>
              </w:rPr>
              <w:t>Directorii de departament</w:t>
            </w:r>
          </w:p>
          <w:p w14:paraId="0F20AC75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  <w:r w:rsidRPr="00842B6F">
              <w:rPr>
                <w:sz w:val="20"/>
                <w:szCs w:val="20"/>
              </w:rPr>
              <w:t>Secretariat</w:t>
            </w:r>
          </w:p>
        </w:tc>
        <w:tc>
          <w:tcPr>
            <w:tcW w:w="1134" w:type="dxa"/>
          </w:tcPr>
          <w:p w14:paraId="7384B9B3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6D29C9" w:rsidRPr="00F33112" w14:paraId="70F1799A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1875D38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18" w:type="dxa"/>
            <w:vMerge w:val="restart"/>
          </w:tcPr>
          <w:p w14:paraId="7B40000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Relații internaționale</w:t>
            </w:r>
          </w:p>
        </w:tc>
        <w:tc>
          <w:tcPr>
            <w:tcW w:w="1701" w:type="dxa"/>
          </w:tcPr>
          <w:p w14:paraId="614E42F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Programe de mobilitate</w:t>
            </w:r>
          </w:p>
        </w:tc>
        <w:tc>
          <w:tcPr>
            <w:tcW w:w="2268" w:type="dxa"/>
          </w:tcPr>
          <w:p w14:paraId="126CEF81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Participarea cadrelor la programe de mobilitate Erasmus, Makovecz</w:t>
            </w:r>
          </w:p>
          <w:p w14:paraId="782CEA8C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Stabilirea unor parteneriate strategice cu câteva facultăţi de profil.</w:t>
            </w:r>
          </w:p>
          <w:p w14:paraId="6E2EF006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Prelegeri ai unor invitați renumiți: profesori, cercetători din domeniu, proiecte de cercetare comune, alte activităţi</w:t>
            </w:r>
          </w:p>
          <w:p w14:paraId="19BAF71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Extinderea contactelor de mobilitate internaţională</w:t>
            </w:r>
          </w:p>
        </w:tc>
        <w:tc>
          <w:tcPr>
            <w:tcW w:w="4536" w:type="dxa"/>
          </w:tcPr>
          <w:p w14:paraId="34A4F568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Acorduri de cooperare</w:t>
            </w:r>
          </w:p>
          <w:p w14:paraId="37677365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Proiecte comune internaţionale Organizarea, promovarea și desfășurarea evenimentelor</w:t>
            </w:r>
          </w:p>
          <w:p w14:paraId="16C2B0A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Contacte cu instituţii specializate pe mobilităţi studenţeşti</w:t>
            </w:r>
          </w:p>
        </w:tc>
        <w:tc>
          <w:tcPr>
            <w:tcW w:w="1275" w:type="dxa"/>
          </w:tcPr>
          <w:p w14:paraId="45FFAAA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alocate</w:t>
            </w:r>
            <w:r w:rsidRPr="00F33112">
              <w:rPr>
                <w:sz w:val="20"/>
                <w:szCs w:val="20"/>
              </w:rPr>
              <w:t>, proiecte</w:t>
            </w:r>
          </w:p>
        </w:tc>
        <w:tc>
          <w:tcPr>
            <w:tcW w:w="1985" w:type="dxa"/>
          </w:tcPr>
          <w:p w14:paraId="7C433E3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3AB65A2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Coordonator Erasmus/Makovecz</w:t>
            </w:r>
          </w:p>
          <w:p w14:paraId="00ADA7BF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Toate cadrele</w:t>
            </w:r>
          </w:p>
        </w:tc>
        <w:tc>
          <w:tcPr>
            <w:tcW w:w="1134" w:type="dxa"/>
          </w:tcPr>
          <w:p w14:paraId="2108FD7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6D29C9" w:rsidRPr="00F33112" w14:paraId="60D3D508" w14:textId="77777777" w:rsidTr="001135EA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568" w:type="dxa"/>
            <w:vMerge/>
          </w:tcPr>
          <w:p w14:paraId="7AD3027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C11841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053482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Intership</w:t>
            </w:r>
          </w:p>
        </w:tc>
        <w:tc>
          <w:tcPr>
            <w:tcW w:w="2268" w:type="dxa"/>
          </w:tcPr>
          <w:p w14:paraId="3DBC240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Acorduri cu agenți economici și instituții </w:t>
            </w:r>
          </w:p>
        </w:tc>
        <w:tc>
          <w:tcPr>
            <w:tcW w:w="4536" w:type="dxa"/>
          </w:tcPr>
          <w:p w14:paraId="75BE572F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Încheierea de acorduri cu agenți economici și instituții pentru facilitarea primei angajări a absolvenților</w:t>
            </w:r>
          </w:p>
        </w:tc>
        <w:tc>
          <w:tcPr>
            <w:tcW w:w="1275" w:type="dxa"/>
          </w:tcPr>
          <w:p w14:paraId="2223ACF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DAE97F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 programe</w:t>
            </w:r>
          </w:p>
        </w:tc>
        <w:tc>
          <w:tcPr>
            <w:tcW w:w="1134" w:type="dxa"/>
          </w:tcPr>
          <w:p w14:paraId="3E0855E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permanent</w:t>
            </w:r>
          </w:p>
        </w:tc>
      </w:tr>
      <w:tr w:rsidR="006D29C9" w:rsidRPr="00F33112" w14:paraId="448E01A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9A07F8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D484B6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981C2ED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Dezvoltarea continuă a parteneriatelor interuniversitare</w:t>
            </w:r>
          </w:p>
        </w:tc>
        <w:tc>
          <w:tcPr>
            <w:tcW w:w="2268" w:type="dxa"/>
          </w:tcPr>
          <w:p w14:paraId="421FD863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Pregătirea pt. finanțarea normativă</w:t>
            </w:r>
          </w:p>
        </w:tc>
        <w:tc>
          <w:tcPr>
            <w:tcW w:w="4536" w:type="dxa"/>
          </w:tcPr>
          <w:p w14:paraId="5ABD2315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elaborarea de proiecte</w:t>
            </w:r>
          </w:p>
        </w:tc>
        <w:tc>
          <w:tcPr>
            <w:tcW w:w="1275" w:type="dxa"/>
          </w:tcPr>
          <w:p w14:paraId="24F7C3A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019D48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09FA35D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5EF0AFA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8E9F9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C47D1A" w:rsidRPr="00F33112" w14:paraId="41703BF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16E17527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1418" w:type="dxa"/>
            <w:vMerge w:val="restart"/>
          </w:tcPr>
          <w:p w14:paraId="62580FB7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Baza materiala </w:t>
            </w:r>
          </w:p>
          <w:p w14:paraId="675FC24F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AE40F1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Evaluarea necesităților la nivelul </w:t>
            </w:r>
            <w:r>
              <w:rPr>
                <w:sz w:val="20"/>
                <w:szCs w:val="20"/>
              </w:rPr>
              <w:t>faculății</w:t>
            </w:r>
          </w:p>
        </w:tc>
        <w:tc>
          <w:tcPr>
            <w:tcW w:w="2268" w:type="dxa"/>
          </w:tcPr>
          <w:p w14:paraId="3AFE3B23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Obţinerea de fonduri extrabugetare</w:t>
            </w:r>
          </w:p>
          <w:p w14:paraId="462F8289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Atragerea de fonduri din sponsorizări și donații</w:t>
            </w:r>
          </w:p>
        </w:tc>
        <w:tc>
          <w:tcPr>
            <w:tcW w:w="4536" w:type="dxa"/>
          </w:tcPr>
          <w:p w14:paraId="27AF8CED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Elaborarea de proiecte</w:t>
            </w:r>
          </w:p>
          <w:p w14:paraId="14BE1AB2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Formarea legăturilor de parteneriat şi consultanţă cu mediul de afaceri al regiunii</w:t>
            </w:r>
          </w:p>
          <w:p w14:paraId="5C12D3C9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Dezvoltarea relațiilor cu comunitatea și mediul de afaceri</w:t>
            </w:r>
          </w:p>
        </w:tc>
        <w:tc>
          <w:tcPr>
            <w:tcW w:w="1275" w:type="dxa"/>
          </w:tcPr>
          <w:p w14:paraId="5953BDE7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CA938BB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02F25AC5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2690DC5C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627005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C47D1A" w:rsidRPr="00F33112" w14:paraId="26DFC35C" w14:textId="77777777" w:rsidTr="00923E4F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568" w:type="dxa"/>
            <w:vMerge/>
          </w:tcPr>
          <w:p w14:paraId="09B87B60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561B7CB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D496C7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Relația cu comunitatea și mediul de afaceri</w:t>
            </w:r>
          </w:p>
          <w:p w14:paraId="46A91454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F7DB1A8" w14:textId="77777777" w:rsidR="00C47D1A" w:rsidRPr="00F33112" w:rsidRDefault="00E71F9D" w:rsidP="006D29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C47D1A" w:rsidRPr="00F33112">
              <w:rPr>
                <w:sz w:val="20"/>
                <w:szCs w:val="20"/>
              </w:rPr>
              <w:t>paţiile de învăţământ</w:t>
            </w:r>
          </w:p>
        </w:tc>
        <w:tc>
          <w:tcPr>
            <w:tcW w:w="4536" w:type="dxa"/>
          </w:tcPr>
          <w:p w14:paraId="74155D62" w14:textId="77777777" w:rsidR="00C47D1A" w:rsidRPr="00C47D1A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D1A">
              <w:rPr>
                <w:rFonts w:ascii="Times New Roman" w:hAnsi="Times New Roman"/>
                <w:sz w:val="20"/>
                <w:szCs w:val="20"/>
              </w:rPr>
              <w:t>-Asigurarea de spații în incinta universității pentru activitățile extracuriculare și manifestările organizate de studenți</w:t>
            </w:r>
          </w:p>
          <w:p w14:paraId="72AC7342" w14:textId="77777777" w:rsidR="00C47D1A" w:rsidRPr="00C47D1A" w:rsidRDefault="00C47D1A" w:rsidP="00E71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CCE9227" w14:textId="77777777" w:rsidR="00C47D1A" w:rsidRPr="00C47D1A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BC9C0A6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05F0A262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7B9249A9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20E436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141385" w:rsidRPr="00F33112" w14:paraId="18C34794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71566ECB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BE561CD" w14:textId="77777777" w:rsidR="00141385" w:rsidRPr="00F33112" w:rsidRDefault="00141385" w:rsidP="0014138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948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  <w:r w:rsidRPr="00141385">
              <w:rPr>
                <w:rFonts w:eastAsia="Times New Roman"/>
                <w:sz w:val="20"/>
                <w:szCs w:val="20"/>
              </w:rPr>
              <w:t>Laborator de informatică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E7C2" w14:textId="77777777" w:rsidR="00141385" w:rsidRPr="00141385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385">
              <w:rPr>
                <w:rFonts w:ascii="Times New Roman" w:eastAsia="Times New Roman" w:hAnsi="Times New Roman"/>
                <w:sz w:val="20"/>
                <w:szCs w:val="20"/>
              </w:rPr>
              <w:t xml:space="preserve">Modernizarea laboratorului de informatică existent și echiparea unui nou laborator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C6D5" w14:textId="77777777" w:rsidR="00141385" w:rsidRPr="00141385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41385">
              <w:rPr>
                <w:rFonts w:ascii="Times New Roman" w:eastAsia="Times New Roman" w:hAnsi="Times New Roman"/>
                <w:sz w:val="20"/>
                <w:szCs w:val="20"/>
              </w:rPr>
              <w:t>- Evaluarea necesităților și achiziționarea echipamenteleor necesare modernizării</w:t>
            </w:r>
          </w:p>
          <w:p w14:paraId="26ECAC8D" w14:textId="77777777" w:rsidR="00141385" w:rsidRPr="00141385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385">
              <w:rPr>
                <w:rFonts w:ascii="Times New Roman" w:eastAsia="Times New Roman" w:hAnsi="Times New Roman"/>
                <w:sz w:val="20"/>
                <w:szCs w:val="20"/>
              </w:rPr>
              <w:t xml:space="preserve">- Achiziționarea unor calculatoare noi, moderne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6886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CB93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  <w:r w:rsidRPr="00141385">
              <w:rPr>
                <w:rFonts w:eastAsia="Times New Roman"/>
                <w:sz w:val="20"/>
                <w:szCs w:val="20"/>
              </w:rPr>
              <w:t>Departamentul informatică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99A6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  <w:r w:rsidRPr="00141385">
              <w:rPr>
                <w:rFonts w:eastAsia="Times New Roman"/>
                <w:sz w:val="20"/>
                <w:szCs w:val="20"/>
              </w:rPr>
              <w:t>Ianuarie-februarie</w:t>
            </w:r>
          </w:p>
        </w:tc>
      </w:tr>
      <w:tr w:rsidR="00141385" w:rsidRPr="00F33112" w14:paraId="0DA988AF" w14:textId="77777777" w:rsidTr="0070143A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568" w:type="dxa"/>
          </w:tcPr>
          <w:p w14:paraId="169DBD2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418" w:type="dxa"/>
          </w:tcPr>
          <w:p w14:paraId="3C6F3AF8" w14:textId="77777777" w:rsidR="00141385" w:rsidRPr="00F33112" w:rsidRDefault="00141385" w:rsidP="00141385">
            <w:pPr>
              <w:pStyle w:val="Default"/>
              <w:rPr>
                <w:color w:val="auto"/>
                <w:sz w:val="20"/>
                <w:szCs w:val="20"/>
              </w:rPr>
            </w:pPr>
            <w:r w:rsidRPr="00F33112">
              <w:rPr>
                <w:color w:val="auto"/>
                <w:sz w:val="20"/>
                <w:szCs w:val="20"/>
              </w:rPr>
              <w:t xml:space="preserve">Infrastructura </w:t>
            </w:r>
          </w:p>
          <w:p w14:paraId="12360AD9" w14:textId="77777777" w:rsidR="00141385" w:rsidRPr="00F33112" w:rsidRDefault="00141385" w:rsidP="0014138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universității</w:t>
            </w:r>
            <w:r w:rsidRPr="00F33112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4AD6A3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Îmbunătățirea condițiilor în care se desfășoară activitatea didactică</w:t>
            </w:r>
          </w:p>
        </w:tc>
        <w:tc>
          <w:tcPr>
            <w:tcW w:w="2268" w:type="dxa"/>
          </w:tcPr>
          <w:p w14:paraId="581900B5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Lărgirea resurselor didactice accesibile studenţilor</w:t>
            </w:r>
          </w:p>
        </w:tc>
        <w:tc>
          <w:tcPr>
            <w:tcW w:w="4536" w:type="dxa"/>
          </w:tcPr>
          <w:p w14:paraId="523D0342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Îmbogățirea bibliotecii cu cărți noi și asigurarea accesului studenților la baza de date internaționale</w:t>
            </w:r>
          </w:p>
          <w:p w14:paraId="09B2DD36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Evaluarea necesităţilor de fond de carte </w:t>
            </w:r>
          </w:p>
          <w:p w14:paraId="2DDD191D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Elaborarea şi publicarea de suporturi de curs (note de curs, culegeri de texte etc.)</w:t>
            </w:r>
          </w:p>
          <w:p w14:paraId="161945BB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Abonare la situri electronice și la reviste de specialitate de renume</w:t>
            </w:r>
          </w:p>
        </w:tc>
        <w:tc>
          <w:tcPr>
            <w:tcW w:w="1275" w:type="dxa"/>
          </w:tcPr>
          <w:p w14:paraId="6294C264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FF25DA7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0FFFBC04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Coordonatori specializări</w:t>
            </w:r>
          </w:p>
        </w:tc>
        <w:tc>
          <w:tcPr>
            <w:tcW w:w="1134" w:type="dxa"/>
          </w:tcPr>
          <w:p w14:paraId="60DCB21A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141385" w:rsidRPr="00F33112" w14:paraId="31E69E66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3BED5101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9.</w:t>
            </w:r>
          </w:p>
        </w:tc>
        <w:tc>
          <w:tcPr>
            <w:tcW w:w="1418" w:type="dxa"/>
            <w:vMerge w:val="restart"/>
          </w:tcPr>
          <w:p w14:paraId="1A496C61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Resurse </w:t>
            </w:r>
          </w:p>
          <w:p w14:paraId="0DCF96FD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informaționale </w:t>
            </w:r>
          </w:p>
        </w:tc>
        <w:tc>
          <w:tcPr>
            <w:tcW w:w="1701" w:type="dxa"/>
            <w:vMerge w:val="restart"/>
          </w:tcPr>
          <w:p w14:paraId="6FE021E7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Dezvoltarea bibliotecii</w:t>
            </w:r>
          </w:p>
        </w:tc>
        <w:tc>
          <w:tcPr>
            <w:tcW w:w="2268" w:type="dxa"/>
          </w:tcPr>
          <w:p w14:paraId="04818B64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Dezvoltarea fondului de cărți, a resurselor didactice accesibile studenţilor, accesibilității revistelor de specialitate</w:t>
            </w:r>
          </w:p>
        </w:tc>
        <w:tc>
          <w:tcPr>
            <w:tcW w:w="4536" w:type="dxa"/>
          </w:tcPr>
          <w:p w14:paraId="78CD212A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 - Evaluarea necesităţilor fondului de cărți și reviste (</w:t>
            </w:r>
            <w:r w:rsidR="00E71F9D">
              <w:rPr>
                <w:rFonts w:ascii="Times New Roman" w:eastAsia="Times New Roman" w:hAnsi="Times New Roman"/>
                <w:sz w:val="20"/>
                <w:szCs w:val="20"/>
              </w:rPr>
              <w:t xml:space="preserve">Jstor,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EBSCO, EconLit, Springer) </w:t>
            </w:r>
          </w:p>
          <w:p w14:paraId="707E3E0B" w14:textId="77777777" w:rsidR="00141385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 Elaborarea şi publicarea de suporturi de curs (note de curs, culegeri de texte etc.)</w:t>
            </w:r>
          </w:p>
          <w:p w14:paraId="361F1A84" w14:textId="77777777" w:rsidR="00141385" w:rsidRPr="00102601" w:rsidRDefault="00141385" w:rsidP="00141385">
            <w:pPr>
              <w:spacing w:after="0" w:line="240" w:lineRule="auto"/>
              <w:rPr>
                <w:sz w:val="20"/>
                <w:szCs w:val="20"/>
              </w:rPr>
            </w:pPr>
            <w:r w:rsidRPr="00102601">
              <w:rPr>
                <w:rFonts w:ascii="Times New Roman" w:hAnsi="Times New Roman"/>
                <w:sz w:val="20"/>
                <w:szCs w:val="20"/>
              </w:rPr>
              <w:t>Îmbogățirea bibliotecii cu cărți noi și asigurarea accesului studenților la baza de date internaționale</w:t>
            </w:r>
          </w:p>
          <w:p w14:paraId="624910CB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162998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proprii, proiecte</w:t>
            </w:r>
          </w:p>
        </w:tc>
        <w:tc>
          <w:tcPr>
            <w:tcW w:w="1985" w:type="dxa"/>
          </w:tcPr>
          <w:p w14:paraId="75466AA2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Director de departament, </w:t>
            </w:r>
          </w:p>
          <w:p w14:paraId="2975AE75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Secretar ştiinţific</w:t>
            </w:r>
          </w:p>
          <w:p w14:paraId="22B27DAC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cadre didactice</w:t>
            </w:r>
          </w:p>
        </w:tc>
        <w:tc>
          <w:tcPr>
            <w:tcW w:w="1134" w:type="dxa"/>
          </w:tcPr>
          <w:p w14:paraId="348BE7A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Ianuarie-aprilie </w:t>
            </w:r>
          </w:p>
          <w:p w14:paraId="7643E0E3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25176D23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0EC2972F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5A2E93C7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47E831DA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31CD5C00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2E4F43B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</w:tr>
      <w:tr w:rsidR="00141385" w:rsidRPr="00F33112" w14:paraId="41E28BC1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775788B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425CB1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8EE45E4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FC2FBF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C065CA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0DC116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B54681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5E90B7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</w:tr>
      <w:tr w:rsidR="00141385" w:rsidRPr="00F33112" w14:paraId="00213A62" w14:textId="77777777" w:rsidTr="001135EA">
        <w:tblPrEx>
          <w:tblCellMar>
            <w:top w:w="0" w:type="dxa"/>
            <w:bottom w:w="0" w:type="dxa"/>
          </w:tblCellMar>
        </w:tblPrEx>
        <w:trPr>
          <w:trHeight w:val="2277"/>
        </w:trPr>
        <w:tc>
          <w:tcPr>
            <w:tcW w:w="568" w:type="dxa"/>
          </w:tcPr>
          <w:p w14:paraId="2B184BB3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10.</w:t>
            </w:r>
          </w:p>
        </w:tc>
        <w:tc>
          <w:tcPr>
            <w:tcW w:w="1418" w:type="dxa"/>
          </w:tcPr>
          <w:p w14:paraId="5E1CCAAC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</w:t>
            </w:r>
          </w:p>
        </w:tc>
        <w:tc>
          <w:tcPr>
            <w:tcW w:w="1701" w:type="dxa"/>
          </w:tcPr>
          <w:p w14:paraId="11980E9D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Popularizarea </w:t>
            </w:r>
            <w:r>
              <w:rPr>
                <w:sz w:val="20"/>
                <w:szCs w:val="20"/>
              </w:rPr>
              <w:t>universității</w:t>
            </w:r>
          </w:p>
        </w:tc>
        <w:tc>
          <w:tcPr>
            <w:tcW w:w="2268" w:type="dxa"/>
          </w:tcPr>
          <w:p w14:paraId="1175669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Lansarea concursurilor organizate de către Departament</w:t>
            </w:r>
            <w:r w:rsidR="00E71F9D">
              <w:rPr>
                <w:sz w:val="20"/>
                <w:szCs w:val="20"/>
              </w:rPr>
              <w:t xml:space="preserve">e </w:t>
            </w:r>
            <w:r w:rsidRPr="00F33112">
              <w:rPr>
                <w:sz w:val="20"/>
                <w:szCs w:val="20"/>
              </w:rPr>
              <w:t>în rândul absolvenţilor de licee</w:t>
            </w:r>
          </w:p>
          <w:p w14:paraId="5FEE7D1C" w14:textId="77777777" w:rsidR="00141385" w:rsidRPr="00F33112" w:rsidRDefault="00141385" w:rsidP="00141385">
            <w:pPr>
              <w:pStyle w:val="Default"/>
              <w:rPr>
                <w:i/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Ziua Porților Deschise – Premiere al </w:t>
            </w:r>
            <w:r w:rsidRPr="00F33112">
              <w:rPr>
                <w:i/>
                <w:sz w:val="20"/>
                <w:szCs w:val="20"/>
              </w:rPr>
              <w:t>Concursurilor</w:t>
            </w:r>
          </w:p>
          <w:p w14:paraId="5B428079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Organizarea, promovarea și desfășurarea vizitării școlilor</w:t>
            </w:r>
          </w:p>
          <w:p w14:paraId="214791FA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Prelegeri din domeniul academic</w:t>
            </w:r>
          </w:p>
        </w:tc>
        <w:tc>
          <w:tcPr>
            <w:tcW w:w="4536" w:type="dxa"/>
          </w:tcPr>
          <w:p w14:paraId="51B7EC80" w14:textId="77777777" w:rsidR="0028052D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Pregătirea, desfășurarea unor programe de promovare instituționale și proprii, utilizând diferite canale de comunicare</w:t>
            </w:r>
            <w:r w:rsidR="0028052D">
              <w:rPr>
                <w:sz w:val="20"/>
                <w:szCs w:val="20"/>
              </w:rPr>
              <w:t xml:space="preserve"> (ex: PubliCritic, Creative Writing</w:t>
            </w:r>
            <w:r w:rsidR="005F639A">
              <w:rPr>
                <w:sz w:val="20"/>
                <w:szCs w:val="20"/>
              </w:rPr>
              <w:t>, Tab</w:t>
            </w:r>
            <w:r w:rsidR="005F639A">
              <w:rPr>
                <w:sz w:val="20"/>
                <w:szCs w:val="20"/>
                <w:lang w:val="hu-HU"/>
              </w:rPr>
              <w:t>éry Géza, etc.</w:t>
            </w:r>
            <w:r w:rsidR="0028052D">
              <w:rPr>
                <w:sz w:val="20"/>
                <w:szCs w:val="20"/>
              </w:rPr>
              <w:t>)</w:t>
            </w:r>
          </w:p>
          <w:p w14:paraId="17F8CBAF" w14:textId="77777777" w:rsidR="005F639A" w:rsidRPr="005F639A" w:rsidRDefault="005F639A" w:rsidP="005F639A">
            <w:pPr>
              <w:pStyle w:val="Default"/>
              <w:rPr>
                <w:sz w:val="20"/>
                <w:szCs w:val="20"/>
              </w:rPr>
            </w:pPr>
            <w:r w:rsidRPr="005F639A">
              <w:rPr>
                <w:sz w:val="20"/>
                <w:szCs w:val="20"/>
              </w:rPr>
              <w:t>Promovarea valorilor culturale al orașului atât pentru studenții și cadrele didactice interesate, cât și pentru cei din mediul extern</w:t>
            </w:r>
            <w:r>
              <w:rPr>
                <w:sz w:val="20"/>
                <w:szCs w:val="20"/>
              </w:rPr>
              <w:t>. (plimbări culturale organizate de specializarea de limba și literatura maghiară, proiectul de OurOradea, etc</w:t>
            </w:r>
          </w:p>
        </w:tc>
        <w:tc>
          <w:tcPr>
            <w:tcW w:w="1275" w:type="dxa"/>
          </w:tcPr>
          <w:p w14:paraId="3EAAC29B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7F87978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Responsabili PR, </w:t>
            </w:r>
          </w:p>
          <w:p w14:paraId="5258BD2B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</w:t>
            </w:r>
          </w:p>
        </w:tc>
        <w:tc>
          <w:tcPr>
            <w:tcW w:w="1134" w:type="dxa"/>
          </w:tcPr>
          <w:p w14:paraId="315E0CE3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 continuu</w:t>
            </w:r>
          </w:p>
        </w:tc>
      </w:tr>
    </w:tbl>
    <w:p w14:paraId="15C973E2" w14:textId="77777777" w:rsidR="00CE1753" w:rsidRPr="00F33112" w:rsidRDefault="00CE1753">
      <w:pPr>
        <w:rPr>
          <w:rFonts w:ascii="Times New Roman" w:hAnsi="Times New Roman"/>
          <w:sz w:val="18"/>
          <w:szCs w:val="18"/>
        </w:rPr>
      </w:pPr>
    </w:p>
    <w:p w14:paraId="6C6F5401" w14:textId="77777777" w:rsidR="00CE1753" w:rsidRPr="00F33112" w:rsidRDefault="00CE1753">
      <w:pPr>
        <w:rPr>
          <w:rFonts w:ascii="Times New Roman" w:hAnsi="Times New Roman"/>
          <w:sz w:val="18"/>
          <w:szCs w:val="18"/>
        </w:rPr>
      </w:pPr>
    </w:p>
    <w:p w14:paraId="05F6ADB3" w14:textId="77777777" w:rsidR="00CE1753" w:rsidRPr="00F33112" w:rsidRDefault="00CE1753">
      <w:pPr>
        <w:rPr>
          <w:rFonts w:ascii="Times New Roman" w:hAnsi="Times New Roman"/>
          <w:sz w:val="18"/>
          <w:szCs w:val="18"/>
        </w:rPr>
      </w:pPr>
    </w:p>
    <w:tbl>
      <w:tblPr>
        <w:tblW w:w="12240" w:type="dxa"/>
        <w:jc w:val="center"/>
        <w:tblLook w:val="04A0" w:firstRow="1" w:lastRow="0" w:firstColumn="1" w:lastColumn="0" w:noHBand="0" w:noVBand="1"/>
      </w:tblPr>
      <w:tblGrid>
        <w:gridCol w:w="6120"/>
        <w:gridCol w:w="6120"/>
      </w:tblGrid>
      <w:tr w:rsidR="00D6784D" w:rsidRPr="00223202" w14:paraId="10068760" w14:textId="77777777" w:rsidTr="00223202">
        <w:trPr>
          <w:trHeight w:val="500"/>
          <w:jc w:val="center"/>
        </w:trPr>
        <w:tc>
          <w:tcPr>
            <w:tcW w:w="6120" w:type="dxa"/>
            <w:shd w:val="clear" w:color="auto" w:fill="auto"/>
          </w:tcPr>
          <w:p w14:paraId="637250F7" w14:textId="77777777" w:rsidR="00D6784D" w:rsidRPr="00223202" w:rsidRDefault="00D6784D" w:rsidP="0022320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14:paraId="339902A0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84D" w:rsidRPr="00223202" w14:paraId="39906795" w14:textId="77777777" w:rsidTr="00223202">
        <w:trPr>
          <w:trHeight w:val="500"/>
          <w:jc w:val="center"/>
        </w:trPr>
        <w:tc>
          <w:tcPr>
            <w:tcW w:w="6120" w:type="dxa"/>
            <w:shd w:val="clear" w:color="auto" w:fill="auto"/>
          </w:tcPr>
          <w:p w14:paraId="658419C8" w14:textId="77777777" w:rsidR="00D6784D" w:rsidRPr="00304406" w:rsidRDefault="00304406" w:rsidP="0022320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4406">
              <w:rPr>
                <w:rFonts w:ascii="Times New Roman" w:hAnsi="Times New Roman"/>
                <w:sz w:val="24"/>
                <w:szCs w:val="24"/>
              </w:rPr>
              <w:lastRenderedPageBreak/>
              <w:t>Oradea, 07.12.2023.</w:t>
            </w:r>
          </w:p>
        </w:tc>
        <w:tc>
          <w:tcPr>
            <w:tcW w:w="6120" w:type="dxa"/>
            <w:shd w:val="clear" w:color="auto" w:fill="auto"/>
          </w:tcPr>
          <w:p w14:paraId="17DDF86F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84D" w:rsidRPr="00223202" w14:paraId="560087EC" w14:textId="77777777" w:rsidTr="00223202">
        <w:trPr>
          <w:trHeight w:val="500"/>
          <w:jc w:val="center"/>
        </w:trPr>
        <w:tc>
          <w:tcPr>
            <w:tcW w:w="6120" w:type="dxa"/>
            <w:shd w:val="clear" w:color="auto" w:fill="auto"/>
          </w:tcPr>
          <w:p w14:paraId="73E28DE0" w14:textId="77777777" w:rsidR="00D6784D" w:rsidRPr="00223202" w:rsidRDefault="00D6784D" w:rsidP="00223202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14:paraId="5569C6E8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223202">
              <w:rPr>
                <w:rFonts w:ascii="Times New Roman" w:hAnsi="Times New Roman"/>
                <w:b/>
                <w:bCs/>
                <w:sz w:val="24"/>
                <w:szCs w:val="24"/>
              </w:rPr>
              <w:t>Decan,</w:t>
            </w:r>
          </w:p>
        </w:tc>
      </w:tr>
      <w:tr w:rsidR="00D6784D" w:rsidRPr="00223202" w14:paraId="2A83A4ED" w14:textId="77777777" w:rsidTr="00223202">
        <w:trPr>
          <w:trHeight w:val="500"/>
          <w:jc w:val="center"/>
        </w:trPr>
        <w:tc>
          <w:tcPr>
            <w:tcW w:w="0" w:type="auto"/>
            <w:shd w:val="clear" w:color="auto" w:fill="auto"/>
          </w:tcPr>
          <w:p w14:paraId="6D6B5A2C" w14:textId="77777777" w:rsidR="00D6784D" w:rsidRPr="00223202" w:rsidRDefault="00D6784D" w:rsidP="0022320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6F4A56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223202">
              <w:rPr>
                <w:rFonts w:ascii="Times New Roman" w:hAnsi="Times New Roman"/>
                <w:sz w:val="24"/>
                <w:szCs w:val="24"/>
              </w:rPr>
              <w:t>Lect. univ. dr. Bökös Borbála</w:t>
            </w:r>
          </w:p>
        </w:tc>
      </w:tr>
    </w:tbl>
    <w:p w14:paraId="175AF037" w14:textId="77777777" w:rsidR="00C71D9C" w:rsidRPr="00F33112" w:rsidRDefault="00C71D9C">
      <w:pPr>
        <w:rPr>
          <w:rFonts w:ascii="Times New Roman" w:hAnsi="Times New Roman"/>
          <w:sz w:val="18"/>
          <w:szCs w:val="18"/>
        </w:rPr>
      </w:pPr>
    </w:p>
    <w:sectPr w:rsidR="00C71D9C" w:rsidRPr="00F33112" w:rsidSect="008C02CB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BC25" w14:textId="77777777" w:rsidR="008C02CB" w:rsidRDefault="008C02CB" w:rsidP="0029667B">
      <w:pPr>
        <w:spacing w:after="0" w:line="240" w:lineRule="auto"/>
      </w:pPr>
      <w:r>
        <w:separator/>
      </w:r>
    </w:p>
  </w:endnote>
  <w:endnote w:type="continuationSeparator" w:id="0">
    <w:p w14:paraId="25CD874C" w14:textId="77777777" w:rsidR="008C02CB" w:rsidRDefault="008C02CB" w:rsidP="00296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721" w14:textId="77777777" w:rsidR="008C54BB" w:rsidRDefault="008C54B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F49">
      <w:rPr>
        <w:noProof/>
      </w:rPr>
      <w:t>8</w:t>
    </w:r>
    <w:r>
      <w:rPr>
        <w:noProof/>
      </w:rPr>
      <w:fldChar w:fldCharType="end"/>
    </w:r>
  </w:p>
  <w:p w14:paraId="716D8CBD" w14:textId="77777777" w:rsidR="008C54BB" w:rsidRDefault="008C5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B27FA" w14:textId="77777777" w:rsidR="008C02CB" w:rsidRDefault="008C02CB" w:rsidP="0029667B">
      <w:pPr>
        <w:spacing w:after="0" w:line="240" w:lineRule="auto"/>
      </w:pPr>
      <w:r>
        <w:separator/>
      </w:r>
    </w:p>
  </w:footnote>
  <w:footnote w:type="continuationSeparator" w:id="0">
    <w:p w14:paraId="0520B420" w14:textId="77777777" w:rsidR="008C02CB" w:rsidRDefault="008C02CB" w:rsidP="00296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AF3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E417E2"/>
    <w:multiLevelType w:val="hybridMultilevel"/>
    <w:tmpl w:val="7A768AC6"/>
    <w:lvl w:ilvl="0" w:tplc="A6F6B2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95B8A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BD60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F7B1A1D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6433D51"/>
    <w:multiLevelType w:val="hybridMultilevel"/>
    <w:tmpl w:val="AF1C7AB6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CE1BA4"/>
    <w:multiLevelType w:val="hybridMultilevel"/>
    <w:tmpl w:val="5E56723A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336905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00050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7E23347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8D52025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9C3556F"/>
    <w:multiLevelType w:val="hybridMultilevel"/>
    <w:tmpl w:val="40C083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66ECB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B087F6D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BC31845"/>
    <w:multiLevelType w:val="hybridMultilevel"/>
    <w:tmpl w:val="3FD0733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1106AC8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7131159"/>
    <w:multiLevelType w:val="hybridMultilevel"/>
    <w:tmpl w:val="7BD043AA"/>
    <w:lvl w:ilvl="0" w:tplc="C5700956">
      <w:start w:val="1"/>
      <w:numFmt w:val="lowerLetter"/>
      <w:lvlText w:val="%1.)"/>
      <w:lvlJc w:val="left"/>
      <w:pPr>
        <w:ind w:left="360" w:hanging="360"/>
      </w:pPr>
      <w:rPr>
        <w:rFonts w:hint="default"/>
        <w:sz w:val="2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E65DAA"/>
    <w:multiLevelType w:val="hybridMultilevel"/>
    <w:tmpl w:val="3FD0733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FAF4D20"/>
    <w:multiLevelType w:val="hybridMultilevel"/>
    <w:tmpl w:val="A64C31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43E9"/>
    <w:multiLevelType w:val="hybridMultilevel"/>
    <w:tmpl w:val="5DF047B4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A51AB1"/>
    <w:multiLevelType w:val="multilevel"/>
    <w:tmpl w:val="7CA51AB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380782">
    <w:abstractNumId w:val="10"/>
  </w:num>
  <w:num w:numId="2" w16cid:durableId="401024972">
    <w:abstractNumId w:val="4"/>
  </w:num>
  <w:num w:numId="3" w16cid:durableId="26218526">
    <w:abstractNumId w:val="0"/>
  </w:num>
  <w:num w:numId="4" w16cid:durableId="109209257">
    <w:abstractNumId w:val="15"/>
  </w:num>
  <w:num w:numId="5" w16cid:durableId="734546212">
    <w:abstractNumId w:val="18"/>
  </w:num>
  <w:num w:numId="6" w16cid:durableId="523372863">
    <w:abstractNumId w:val="9"/>
  </w:num>
  <w:num w:numId="7" w16cid:durableId="1531718231">
    <w:abstractNumId w:val="16"/>
  </w:num>
  <w:num w:numId="8" w16cid:durableId="207375196">
    <w:abstractNumId w:val="6"/>
  </w:num>
  <w:num w:numId="9" w16cid:durableId="1603026128">
    <w:abstractNumId w:val="8"/>
  </w:num>
  <w:num w:numId="10" w16cid:durableId="1223247736">
    <w:abstractNumId w:val="12"/>
  </w:num>
  <w:num w:numId="11" w16cid:durableId="371274178">
    <w:abstractNumId w:val="3"/>
  </w:num>
  <w:num w:numId="12" w16cid:durableId="164172212">
    <w:abstractNumId w:val="7"/>
  </w:num>
  <w:num w:numId="13" w16cid:durableId="1604192785">
    <w:abstractNumId w:val="13"/>
  </w:num>
  <w:num w:numId="14" w16cid:durableId="1860313728">
    <w:abstractNumId w:val="11"/>
  </w:num>
  <w:num w:numId="15" w16cid:durableId="1212838390">
    <w:abstractNumId w:val="2"/>
  </w:num>
  <w:num w:numId="16" w16cid:durableId="1085687421">
    <w:abstractNumId w:val="5"/>
  </w:num>
  <w:num w:numId="17" w16cid:durableId="1664120361">
    <w:abstractNumId w:val="14"/>
  </w:num>
  <w:num w:numId="18" w16cid:durableId="1486242261">
    <w:abstractNumId w:val="17"/>
  </w:num>
  <w:num w:numId="19" w16cid:durableId="1395079325">
    <w:abstractNumId w:val="1"/>
  </w:num>
  <w:num w:numId="20" w16cid:durableId="470707746">
    <w:abstractNumId w:val="19"/>
  </w:num>
  <w:num w:numId="21" w16cid:durableId="172602940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E61"/>
    <w:rsid w:val="0000453E"/>
    <w:rsid w:val="00020194"/>
    <w:rsid w:val="0003439B"/>
    <w:rsid w:val="0003481E"/>
    <w:rsid w:val="0004042F"/>
    <w:rsid w:val="00053889"/>
    <w:rsid w:val="00081316"/>
    <w:rsid w:val="00085672"/>
    <w:rsid w:val="00096079"/>
    <w:rsid w:val="000C27C1"/>
    <w:rsid w:val="000E4F42"/>
    <w:rsid w:val="000F4738"/>
    <w:rsid w:val="00102601"/>
    <w:rsid w:val="00107948"/>
    <w:rsid w:val="001135EA"/>
    <w:rsid w:val="00113EB6"/>
    <w:rsid w:val="00123AD2"/>
    <w:rsid w:val="0012744B"/>
    <w:rsid w:val="00141385"/>
    <w:rsid w:val="00153B19"/>
    <w:rsid w:val="00180A01"/>
    <w:rsid w:val="001812B4"/>
    <w:rsid w:val="00196DE3"/>
    <w:rsid w:val="001A5677"/>
    <w:rsid w:val="001D1845"/>
    <w:rsid w:val="001E4B15"/>
    <w:rsid w:val="002076CF"/>
    <w:rsid w:val="00223202"/>
    <w:rsid w:val="002259BB"/>
    <w:rsid w:val="002268EA"/>
    <w:rsid w:val="0023062E"/>
    <w:rsid w:val="002664B0"/>
    <w:rsid w:val="0028052D"/>
    <w:rsid w:val="0028466C"/>
    <w:rsid w:val="0029455F"/>
    <w:rsid w:val="0029667B"/>
    <w:rsid w:val="002B15EE"/>
    <w:rsid w:val="002B336F"/>
    <w:rsid w:val="002B4467"/>
    <w:rsid w:val="002B6E96"/>
    <w:rsid w:val="002C06C9"/>
    <w:rsid w:val="002D2C7B"/>
    <w:rsid w:val="002F00F0"/>
    <w:rsid w:val="00303A5E"/>
    <w:rsid w:val="00304406"/>
    <w:rsid w:val="00310B5F"/>
    <w:rsid w:val="0031625A"/>
    <w:rsid w:val="003220BE"/>
    <w:rsid w:val="0032497D"/>
    <w:rsid w:val="003256A1"/>
    <w:rsid w:val="00334AEE"/>
    <w:rsid w:val="0033647D"/>
    <w:rsid w:val="00386831"/>
    <w:rsid w:val="003B5717"/>
    <w:rsid w:val="003C3063"/>
    <w:rsid w:val="003C6865"/>
    <w:rsid w:val="003D2F49"/>
    <w:rsid w:val="003D7DF8"/>
    <w:rsid w:val="003E4C38"/>
    <w:rsid w:val="003F694C"/>
    <w:rsid w:val="00403662"/>
    <w:rsid w:val="0043119D"/>
    <w:rsid w:val="00442561"/>
    <w:rsid w:val="00472E13"/>
    <w:rsid w:val="004765A3"/>
    <w:rsid w:val="00492939"/>
    <w:rsid w:val="004B5662"/>
    <w:rsid w:val="004C399A"/>
    <w:rsid w:val="004F4ACE"/>
    <w:rsid w:val="005225C3"/>
    <w:rsid w:val="00537B7D"/>
    <w:rsid w:val="00541A8E"/>
    <w:rsid w:val="00552995"/>
    <w:rsid w:val="00562C61"/>
    <w:rsid w:val="005948A5"/>
    <w:rsid w:val="00597B7D"/>
    <w:rsid w:val="005A303A"/>
    <w:rsid w:val="005B28AB"/>
    <w:rsid w:val="005B3B5E"/>
    <w:rsid w:val="005E1D7A"/>
    <w:rsid w:val="005E3471"/>
    <w:rsid w:val="005F639A"/>
    <w:rsid w:val="00607014"/>
    <w:rsid w:val="00623DF1"/>
    <w:rsid w:val="00624ABF"/>
    <w:rsid w:val="00657CC0"/>
    <w:rsid w:val="00660EA2"/>
    <w:rsid w:val="00666874"/>
    <w:rsid w:val="00682F49"/>
    <w:rsid w:val="006C65E9"/>
    <w:rsid w:val="006D16CB"/>
    <w:rsid w:val="006D29C9"/>
    <w:rsid w:val="006E1F55"/>
    <w:rsid w:val="006E4E0B"/>
    <w:rsid w:val="006E7A21"/>
    <w:rsid w:val="00701172"/>
    <w:rsid w:val="0070143A"/>
    <w:rsid w:val="00707CBB"/>
    <w:rsid w:val="00715B8B"/>
    <w:rsid w:val="00762143"/>
    <w:rsid w:val="007C3CD3"/>
    <w:rsid w:val="007D05D7"/>
    <w:rsid w:val="007D20CB"/>
    <w:rsid w:val="007D5584"/>
    <w:rsid w:val="007D56D0"/>
    <w:rsid w:val="007E2274"/>
    <w:rsid w:val="007E4A81"/>
    <w:rsid w:val="007E6DD6"/>
    <w:rsid w:val="00816E61"/>
    <w:rsid w:val="0082358A"/>
    <w:rsid w:val="00824708"/>
    <w:rsid w:val="00835CC3"/>
    <w:rsid w:val="008368B5"/>
    <w:rsid w:val="00840E34"/>
    <w:rsid w:val="00842B6F"/>
    <w:rsid w:val="0085460B"/>
    <w:rsid w:val="00865C9F"/>
    <w:rsid w:val="008721CA"/>
    <w:rsid w:val="00883ADB"/>
    <w:rsid w:val="00894FA7"/>
    <w:rsid w:val="008C02CB"/>
    <w:rsid w:val="008C54BB"/>
    <w:rsid w:val="008D69CD"/>
    <w:rsid w:val="008F3077"/>
    <w:rsid w:val="008F683E"/>
    <w:rsid w:val="00913B14"/>
    <w:rsid w:val="009142F6"/>
    <w:rsid w:val="00914F74"/>
    <w:rsid w:val="0091550C"/>
    <w:rsid w:val="00923E4F"/>
    <w:rsid w:val="0096541F"/>
    <w:rsid w:val="0096570B"/>
    <w:rsid w:val="00971D79"/>
    <w:rsid w:val="00974D4B"/>
    <w:rsid w:val="00985B63"/>
    <w:rsid w:val="00993775"/>
    <w:rsid w:val="009F3490"/>
    <w:rsid w:val="009F4AAC"/>
    <w:rsid w:val="009F662B"/>
    <w:rsid w:val="009F785A"/>
    <w:rsid w:val="00A06E95"/>
    <w:rsid w:val="00A217EF"/>
    <w:rsid w:val="00A26E46"/>
    <w:rsid w:val="00A57F21"/>
    <w:rsid w:val="00A823FB"/>
    <w:rsid w:val="00AA7D40"/>
    <w:rsid w:val="00AB3294"/>
    <w:rsid w:val="00AC07EA"/>
    <w:rsid w:val="00AF7282"/>
    <w:rsid w:val="00B02CC0"/>
    <w:rsid w:val="00B06E88"/>
    <w:rsid w:val="00B243FB"/>
    <w:rsid w:val="00B34527"/>
    <w:rsid w:val="00B37A86"/>
    <w:rsid w:val="00B45C33"/>
    <w:rsid w:val="00B7024C"/>
    <w:rsid w:val="00B82C87"/>
    <w:rsid w:val="00B90A4D"/>
    <w:rsid w:val="00B94BB4"/>
    <w:rsid w:val="00B95407"/>
    <w:rsid w:val="00BB023B"/>
    <w:rsid w:val="00BD6B87"/>
    <w:rsid w:val="00BE444E"/>
    <w:rsid w:val="00C1067B"/>
    <w:rsid w:val="00C1152F"/>
    <w:rsid w:val="00C23FD0"/>
    <w:rsid w:val="00C34FFE"/>
    <w:rsid w:val="00C411D6"/>
    <w:rsid w:val="00C477E6"/>
    <w:rsid w:val="00C47D1A"/>
    <w:rsid w:val="00C549C4"/>
    <w:rsid w:val="00C659BC"/>
    <w:rsid w:val="00C71D9C"/>
    <w:rsid w:val="00C80FD0"/>
    <w:rsid w:val="00C916EE"/>
    <w:rsid w:val="00CC43A5"/>
    <w:rsid w:val="00CE1753"/>
    <w:rsid w:val="00CE2468"/>
    <w:rsid w:val="00CF326E"/>
    <w:rsid w:val="00CF5F0F"/>
    <w:rsid w:val="00CF750F"/>
    <w:rsid w:val="00D04B54"/>
    <w:rsid w:val="00D05B28"/>
    <w:rsid w:val="00D30DD0"/>
    <w:rsid w:val="00D50E1E"/>
    <w:rsid w:val="00D52FC8"/>
    <w:rsid w:val="00D65E9F"/>
    <w:rsid w:val="00D6784D"/>
    <w:rsid w:val="00D67DAF"/>
    <w:rsid w:val="00D91033"/>
    <w:rsid w:val="00D93578"/>
    <w:rsid w:val="00D95731"/>
    <w:rsid w:val="00D9605D"/>
    <w:rsid w:val="00DA2EC5"/>
    <w:rsid w:val="00DA7092"/>
    <w:rsid w:val="00DB7CE2"/>
    <w:rsid w:val="00DE0615"/>
    <w:rsid w:val="00DE5A32"/>
    <w:rsid w:val="00E0249B"/>
    <w:rsid w:val="00E0430E"/>
    <w:rsid w:val="00E15DA9"/>
    <w:rsid w:val="00E24B54"/>
    <w:rsid w:val="00E303EF"/>
    <w:rsid w:val="00E33701"/>
    <w:rsid w:val="00E37A09"/>
    <w:rsid w:val="00E513FF"/>
    <w:rsid w:val="00E71F9D"/>
    <w:rsid w:val="00E819AB"/>
    <w:rsid w:val="00EB22C6"/>
    <w:rsid w:val="00ED1348"/>
    <w:rsid w:val="00EF7375"/>
    <w:rsid w:val="00F02741"/>
    <w:rsid w:val="00F22774"/>
    <w:rsid w:val="00F256B1"/>
    <w:rsid w:val="00F33112"/>
    <w:rsid w:val="00F702EA"/>
    <w:rsid w:val="00F82625"/>
    <w:rsid w:val="00F84820"/>
    <w:rsid w:val="00F941BF"/>
    <w:rsid w:val="00FB4A82"/>
    <w:rsid w:val="00FC37C6"/>
    <w:rsid w:val="00FD1643"/>
    <w:rsid w:val="00FF3C72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0F894"/>
  <w15:chartTrackingRefBased/>
  <w15:docId w15:val="{C0918C96-3D65-4AED-8281-4A11218E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F02741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F0274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6E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9667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9667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667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9667B"/>
    <w:rPr>
      <w:sz w:val="22"/>
      <w:szCs w:val="22"/>
      <w:lang w:eastAsia="en-US"/>
    </w:rPr>
  </w:style>
  <w:style w:type="character" w:customStyle="1" w:styleId="Heading1Char">
    <w:name w:val="Heading 1 Char"/>
    <w:link w:val="Heading1"/>
    <w:rsid w:val="00F02741"/>
    <w:rPr>
      <w:rFonts w:ascii="Times New Roman" w:eastAsia="Times New Roman" w:hAnsi="Times New Roman"/>
      <w:sz w:val="24"/>
      <w:lang w:val="en-US"/>
    </w:rPr>
  </w:style>
  <w:style w:type="character" w:customStyle="1" w:styleId="Heading3Char">
    <w:name w:val="Heading 3 Char"/>
    <w:link w:val="Heading3"/>
    <w:rsid w:val="00F02741"/>
    <w:rPr>
      <w:rFonts w:ascii="Times New Roman" w:eastAsia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CE246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842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table" w:styleId="TableGrid">
    <w:name w:val="Table Grid"/>
    <w:basedOn w:val="TableNormal"/>
    <w:uiPriority w:val="39"/>
    <w:qFormat/>
    <w:rsid w:val="00A26E46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3012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2597</Words>
  <Characters>14806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gizela horvath</cp:lastModifiedBy>
  <cp:revision>2</cp:revision>
  <dcterms:created xsi:type="dcterms:W3CDTF">2024-03-23T03:52:00Z</dcterms:created>
  <dcterms:modified xsi:type="dcterms:W3CDTF">2024-03-23T03:52:00Z</dcterms:modified>
</cp:coreProperties>
</file>